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DF" w:rsidRDefault="00EC13DF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  <w:bookmarkStart w:id="0" w:name="_GoBack"/>
      <w:bookmarkEnd w:id="0"/>
    </w:p>
    <w:p w:rsidR="004E093D" w:rsidRDefault="00E70A3E" w:rsidP="003C2C2E">
      <w:pPr>
        <w:spacing w:after="0" w:line="240" w:lineRule="auto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587807" w:rsidRPr="001845DE">
        <w:rPr>
          <w:rFonts w:eastAsiaTheme="minorEastAsia"/>
          <w:bCs/>
          <w:iCs/>
          <w:sz w:val="36"/>
          <w:szCs w:val="36"/>
        </w:rPr>
        <w:t xml:space="preserve"> Goal 1: </w:t>
      </w:r>
      <w:r w:rsidR="00587807" w:rsidRPr="001845DE">
        <w:rPr>
          <w:rFonts w:eastAsiaTheme="minorEastAsia"/>
          <w:b/>
          <w:bCs/>
          <w:i/>
          <w:iCs/>
          <w:sz w:val="32"/>
          <w:szCs w:val="32"/>
        </w:rPr>
        <w:t>Vary learning experiences to increase success in college and career pathways</w:t>
      </w:r>
      <w:r w:rsidR="005E7A6B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4C3D2A" w:rsidRDefault="00B67696" w:rsidP="000B4F42">
      <w:pPr>
        <w:spacing w:after="0" w:line="240" w:lineRule="auto"/>
        <w:ind w:left="-270"/>
        <w:rPr>
          <w:rFonts w:eastAsiaTheme="minorEastAsia"/>
          <w:b/>
          <w:bCs/>
          <w:i/>
          <w:iCs/>
          <w:sz w:val="32"/>
          <w:szCs w:val="32"/>
        </w:rPr>
      </w:pPr>
    </w:p>
    <w:tbl>
      <w:tblPr>
        <w:tblStyle w:val="TableGrid"/>
        <w:tblW w:w="1458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4680"/>
        <w:gridCol w:w="2160"/>
        <w:gridCol w:w="3600"/>
      </w:tblGrid>
      <w:tr w:rsidR="003C2C2E" w:rsidRPr="00DC4FF2" w:rsidTr="003C2C2E">
        <w:trPr>
          <w:cantSplit/>
          <w:trHeight w:val="1253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910581" w:rsidRDefault="009E64C1" w:rsidP="00910581">
            <w:pPr>
              <w:rPr>
                <w:sz w:val="20"/>
                <w:szCs w:val="20"/>
              </w:rPr>
            </w:pPr>
          </w:p>
          <w:p w:rsidR="00B67696" w:rsidRDefault="00B67696" w:rsidP="00066290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</w:p>
          <w:p w:rsidR="009E64C1" w:rsidRPr="00910581" w:rsidRDefault="00B67696" w:rsidP="000662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 xml:space="preserve">Superintendent’s </w:t>
            </w:r>
            <w:r w:rsidR="009E64C1" w:rsidRPr="00910581">
              <w:rPr>
                <w:b/>
                <w:i/>
                <w:color w:val="FFFFFF" w:themeColor="background1"/>
                <w:szCs w:val="20"/>
              </w:rPr>
              <w:t>Priorities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884943" w:rsidRDefault="009E64C1" w:rsidP="00066290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 xml:space="preserve">District </w:t>
            </w:r>
            <w:r w:rsidRPr="00884943">
              <w:rPr>
                <w:b/>
                <w:i/>
                <w:color w:val="FFFFFF" w:themeColor="background1"/>
              </w:rPr>
              <w:t>Initiatives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Local School K</w:t>
            </w:r>
            <w:r w:rsidRPr="004B154C">
              <w:rPr>
                <w:b/>
                <w:bCs/>
                <w:iCs/>
                <w:sz w:val="20"/>
                <w:szCs w:val="20"/>
              </w:rPr>
              <w:t>ey Actions:</w:t>
            </w:r>
          </w:p>
          <w:p w:rsidR="009E64C1" w:rsidRPr="00E15652" w:rsidRDefault="009E64C1" w:rsidP="009530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910581">
            <w:pPr>
              <w:ind w:left="-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Pr="004B154C">
              <w:rPr>
                <w:b/>
                <w:bCs/>
                <w:iCs/>
                <w:sz w:val="20"/>
                <w:szCs w:val="20"/>
              </w:rPr>
              <w:t>easured by: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26519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C3362E" w:rsidRDefault="009E64C1" w:rsidP="00B7659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 xml:space="preserve"> (</w:t>
            </w:r>
            <w:r>
              <w:rPr>
                <w:bCs/>
                <w:iCs/>
                <w:sz w:val="20"/>
                <w:szCs w:val="20"/>
                <w:u w:val="single"/>
              </w:rPr>
              <w:t>Due September 1</w:t>
            </w:r>
            <w:r w:rsidRPr="00C3362E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3C2C2E" w:rsidRPr="00DC4FF2" w:rsidTr="003C2C2E">
        <w:trPr>
          <w:cantSplit/>
          <w:trHeight w:val="2868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9E64C1" w:rsidRDefault="009E64C1" w:rsidP="005733AF">
            <w:pPr>
              <w:rPr>
                <w:sz w:val="20"/>
                <w:szCs w:val="20"/>
              </w:rPr>
            </w:pPr>
          </w:p>
          <w:p w:rsidR="009E64C1" w:rsidRPr="00910581" w:rsidRDefault="009E64C1" w:rsidP="009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Simplify the foundation of teaching and learning to prepare for innovation.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C2C2E" w:rsidRDefault="003C2C2E" w:rsidP="00497B9D">
            <w:pPr>
              <w:rPr>
                <w:i/>
                <w:sz w:val="20"/>
                <w:szCs w:val="20"/>
              </w:rPr>
            </w:pPr>
          </w:p>
          <w:p w:rsidR="009E64C1" w:rsidRPr="00DC4FF2" w:rsidRDefault="009E64C1" w:rsidP="00497B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Ensure all teachers prioritiz</w:t>
            </w:r>
            <w:r w:rsidR="00497B9D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standards.</w:t>
            </w:r>
          </w:p>
        </w:tc>
        <w:tc>
          <w:tcPr>
            <w:tcW w:w="4680" w:type="dxa"/>
          </w:tcPr>
          <w:p w:rsidR="000C015A" w:rsidRDefault="006C2D8D" w:rsidP="000C015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All staff will actively engage in Cobb Collaborative Communities (CCC) during the 2018</w:t>
            </w:r>
            <w:r w:rsidR="00066D52">
              <w:rPr>
                <w:sz w:val="20"/>
                <w:szCs w:val="20"/>
              </w:rPr>
              <w:t xml:space="preserve">-19 school year.   </w:t>
            </w:r>
            <w:r w:rsidR="00EB1140">
              <w:rPr>
                <w:sz w:val="20"/>
                <w:szCs w:val="20"/>
              </w:rPr>
              <w:t>A key component in ensuring the development of high functi</w:t>
            </w:r>
            <w:r w:rsidR="000C015A">
              <w:rPr>
                <w:sz w:val="20"/>
                <w:szCs w:val="20"/>
              </w:rPr>
              <w:t>oning teams is</w:t>
            </w:r>
            <w:r w:rsidR="00DE499F">
              <w:rPr>
                <w:sz w:val="20"/>
                <w:szCs w:val="20"/>
              </w:rPr>
              <w:t xml:space="preserve"> the CCCs </w:t>
            </w:r>
            <w:r w:rsidR="000C015A">
              <w:rPr>
                <w:sz w:val="20"/>
                <w:szCs w:val="20"/>
              </w:rPr>
              <w:t>will r</w:t>
            </w:r>
            <w:r w:rsidR="00EB1140" w:rsidRPr="000C015A">
              <w:rPr>
                <w:sz w:val="20"/>
                <w:szCs w:val="20"/>
              </w:rPr>
              <w:t>eview the Cobb Teaching and Learning Framework</w:t>
            </w:r>
            <w:r w:rsidR="000C015A">
              <w:rPr>
                <w:sz w:val="20"/>
                <w:szCs w:val="20"/>
              </w:rPr>
              <w:t xml:space="preserve"> to then be able to d</w:t>
            </w:r>
            <w:r w:rsidR="00EB1140" w:rsidRPr="000C015A">
              <w:rPr>
                <w:sz w:val="20"/>
                <w:szCs w:val="20"/>
              </w:rPr>
              <w:t>ifferentiate between priority and supporting standards</w:t>
            </w:r>
            <w:r w:rsidR="000C015A">
              <w:rPr>
                <w:sz w:val="20"/>
                <w:szCs w:val="20"/>
              </w:rPr>
              <w:t xml:space="preserve">.  </w:t>
            </w:r>
            <w:r w:rsidR="00DE499F">
              <w:rPr>
                <w:sz w:val="20"/>
                <w:szCs w:val="20"/>
              </w:rPr>
              <w:t>The CCCs will use the following criteria to make the distinction</w:t>
            </w:r>
            <w:r w:rsidR="00125A9B">
              <w:rPr>
                <w:sz w:val="20"/>
                <w:szCs w:val="20"/>
              </w:rPr>
              <w:t xml:space="preserve"> of priority</w:t>
            </w:r>
            <w:r w:rsidR="00DE499F">
              <w:rPr>
                <w:sz w:val="20"/>
                <w:szCs w:val="20"/>
              </w:rPr>
              <w:t>:</w:t>
            </w:r>
          </w:p>
          <w:p w:rsidR="000C015A" w:rsidRDefault="000C015A" w:rsidP="000C015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32040">
              <w:rPr>
                <w:sz w:val="20"/>
                <w:szCs w:val="20"/>
                <w:u w:val="single"/>
              </w:rPr>
              <w:t>Readiness</w:t>
            </w:r>
            <w:r w:rsidR="00332040">
              <w:rPr>
                <w:sz w:val="20"/>
                <w:szCs w:val="20"/>
              </w:rPr>
              <w:t>- knowledge and skills for the next level of instruction and in life</w:t>
            </w:r>
          </w:p>
          <w:p w:rsidR="000C015A" w:rsidRDefault="000C015A" w:rsidP="000C015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32040">
              <w:rPr>
                <w:sz w:val="20"/>
                <w:szCs w:val="20"/>
                <w:u w:val="single"/>
              </w:rPr>
              <w:t>Endurance</w:t>
            </w:r>
            <w:r w:rsidR="00332040">
              <w:rPr>
                <w:sz w:val="20"/>
                <w:szCs w:val="20"/>
              </w:rPr>
              <w:t>- knowledge and skills beyond a single assignment, test, or project</w:t>
            </w:r>
          </w:p>
          <w:p w:rsidR="000C015A" w:rsidRDefault="000C015A" w:rsidP="000C015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32040">
              <w:rPr>
                <w:sz w:val="20"/>
                <w:szCs w:val="20"/>
                <w:u w:val="single"/>
              </w:rPr>
              <w:t>Leverage</w:t>
            </w:r>
            <w:r w:rsidR="00332040">
              <w:rPr>
                <w:sz w:val="20"/>
                <w:szCs w:val="20"/>
              </w:rPr>
              <w:t xml:space="preserve">- </w:t>
            </w:r>
            <w:r w:rsidR="00125A9B">
              <w:rPr>
                <w:sz w:val="20"/>
                <w:szCs w:val="20"/>
              </w:rPr>
              <w:t>knowledge and skills of value in multiple disciplines</w:t>
            </w:r>
          </w:p>
          <w:p w:rsidR="00EB1140" w:rsidRPr="00332040" w:rsidRDefault="000C015A" w:rsidP="000C015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 w:rsidRPr="00332040">
              <w:rPr>
                <w:sz w:val="20"/>
                <w:szCs w:val="20"/>
                <w:u w:val="single"/>
              </w:rPr>
              <w:t>External exams</w:t>
            </w:r>
            <w:r w:rsidR="00332040">
              <w:rPr>
                <w:sz w:val="20"/>
                <w:szCs w:val="20"/>
                <w:u w:val="single"/>
              </w:rPr>
              <w:t xml:space="preserve">- </w:t>
            </w:r>
            <w:r w:rsidR="00125A9B">
              <w:rPr>
                <w:sz w:val="20"/>
                <w:szCs w:val="20"/>
              </w:rPr>
              <w:t>concepts and skills likely to enco</w:t>
            </w:r>
            <w:r w:rsidR="00A541A3">
              <w:rPr>
                <w:sz w:val="20"/>
                <w:szCs w:val="20"/>
              </w:rPr>
              <w:t>unter on standardized tests, college entrance exams, etc…</w:t>
            </w:r>
          </w:p>
          <w:p w:rsidR="000C015A" w:rsidRPr="000C015A" w:rsidRDefault="000C015A" w:rsidP="000C015A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EB1140" w:rsidRPr="000C015A" w:rsidRDefault="00EB1140" w:rsidP="000C01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6E74" w:rsidRPr="002E7A1F" w:rsidRDefault="005D6E74" w:rsidP="002E7A1F">
            <w:pPr>
              <w:rPr>
                <w:sz w:val="20"/>
                <w:szCs w:val="20"/>
              </w:rPr>
            </w:pPr>
            <w:r w:rsidRPr="002E7A1F">
              <w:rPr>
                <w:sz w:val="20"/>
                <w:szCs w:val="20"/>
              </w:rPr>
              <w:t>Ongoing administrative monitoring of CCCs</w:t>
            </w:r>
            <w:r w:rsidR="00483256" w:rsidRPr="002E7A1F">
              <w:rPr>
                <w:sz w:val="20"/>
                <w:szCs w:val="20"/>
              </w:rPr>
              <w:t>, Subject Area Collaboration Days, and Special Education Collaboration Days</w:t>
            </w:r>
          </w:p>
          <w:p w:rsidR="006A7E8A" w:rsidRDefault="006A7E8A" w:rsidP="006A7E8A">
            <w:pPr>
              <w:pStyle w:val="ListParagraph"/>
              <w:ind w:left="410"/>
              <w:rPr>
                <w:sz w:val="20"/>
                <w:szCs w:val="20"/>
              </w:rPr>
            </w:pPr>
          </w:p>
          <w:p w:rsidR="005D6E74" w:rsidRPr="002E7A1F" w:rsidRDefault="005D6E74" w:rsidP="002E7A1F">
            <w:pPr>
              <w:rPr>
                <w:sz w:val="20"/>
                <w:szCs w:val="20"/>
              </w:rPr>
            </w:pPr>
            <w:r w:rsidRPr="002E7A1F">
              <w:rPr>
                <w:sz w:val="20"/>
                <w:szCs w:val="20"/>
              </w:rPr>
              <w:t>Ongoing review of CCC meeting minutes (includes Unit Plan, Team Agenda, and Data Plan)</w:t>
            </w:r>
          </w:p>
          <w:p w:rsidR="005D6E74" w:rsidRDefault="005D6E74" w:rsidP="005D6E74">
            <w:pPr>
              <w:pStyle w:val="ListParagraph"/>
              <w:ind w:left="410"/>
              <w:rPr>
                <w:sz w:val="20"/>
                <w:szCs w:val="20"/>
              </w:rPr>
            </w:pPr>
          </w:p>
          <w:p w:rsidR="005D6E74" w:rsidRPr="002E7A1F" w:rsidRDefault="005D6E74" w:rsidP="002E7A1F">
            <w:pPr>
              <w:rPr>
                <w:sz w:val="20"/>
                <w:szCs w:val="20"/>
              </w:rPr>
            </w:pPr>
            <w:r w:rsidRPr="002E7A1F">
              <w:rPr>
                <w:sz w:val="20"/>
                <w:szCs w:val="20"/>
              </w:rPr>
              <w:t>Classroom walks and TKES observations</w:t>
            </w:r>
          </w:p>
          <w:p w:rsidR="008F15F4" w:rsidRDefault="008F15F4" w:rsidP="00587807">
            <w:pPr>
              <w:rPr>
                <w:sz w:val="20"/>
                <w:szCs w:val="20"/>
              </w:rPr>
            </w:pPr>
          </w:p>
          <w:p w:rsidR="008F15F4" w:rsidRPr="008F15F4" w:rsidRDefault="008F15F4" w:rsidP="005D6E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1C4068" w:rsidRDefault="001C4068" w:rsidP="00587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protected days for collaboration each week (Wednesdays and Thursdays)</w:t>
            </w:r>
            <w:r w:rsidR="00992DE6">
              <w:rPr>
                <w:sz w:val="20"/>
                <w:szCs w:val="20"/>
              </w:rPr>
              <w:t xml:space="preserve"> and professional learning on most Tuesdays</w:t>
            </w:r>
          </w:p>
          <w:p w:rsidR="00D572D8" w:rsidRDefault="00D572D8" w:rsidP="00587807">
            <w:pPr>
              <w:rPr>
                <w:sz w:val="20"/>
                <w:szCs w:val="20"/>
              </w:rPr>
            </w:pPr>
          </w:p>
          <w:p w:rsidR="002542F0" w:rsidRDefault="002542F0" w:rsidP="0025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collaboration days for CCCs- one per semester for all regular ed. teachers in each subject area and a half day for special education teachers in each subject they teach</w:t>
            </w:r>
          </w:p>
          <w:p w:rsidR="002542F0" w:rsidRDefault="002542F0" w:rsidP="00587807">
            <w:pPr>
              <w:rPr>
                <w:sz w:val="20"/>
                <w:szCs w:val="20"/>
              </w:rPr>
            </w:pPr>
          </w:p>
          <w:p w:rsidR="00D572D8" w:rsidRDefault="00D572D8" w:rsidP="00587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 trained in CTLS</w:t>
            </w:r>
            <w:r w:rsidR="002A5D33">
              <w:rPr>
                <w:sz w:val="20"/>
                <w:szCs w:val="20"/>
              </w:rPr>
              <w:t xml:space="preserve"> and CCCs participated in</w:t>
            </w:r>
            <w:r>
              <w:rPr>
                <w:sz w:val="20"/>
                <w:szCs w:val="20"/>
              </w:rPr>
              <w:t xml:space="preserve"> add</w:t>
            </w:r>
            <w:r w:rsidR="002A5D33">
              <w:rPr>
                <w:sz w:val="20"/>
                <w:szCs w:val="20"/>
              </w:rPr>
              <w:t xml:space="preserve">itional CTLS training </w:t>
            </w:r>
            <w:r>
              <w:rPr>
                <w:sz w:val="20"/>
                <w:szCs w:val="20"/>
              </w:rPr>
              <w:t>from TTIS</w:t>
            </w:r>
            <w:r w:rsidR="002A5D33">
              <w:rPr>
                <w:sz w:val="20"/>
                <w:szCs w:val="20"/>
              </w:rPr>
              <w:t xml:space="preserve"> on an as needed basis</w:t>
            </w:r>
            <w:r w:rsidR="00532123">
              <w:rPr>
                <w:sz w:val="20"/>
                <w:szCs w:val="20"/>
              </w:rPr>
              <w:t>, including how to access the Cobb Teaching and Learning Framework and Standards</w:t>
            </w:r>
          </w:p>
          <w:p w:rsidR="00D572D8" w:rsidRDefault="00D572D8" w:rsidP="00587807">
            <w:pPr>
              <w:rPr>
                <w:sz w:val="20"/>
                <w:szCs w:val="20"/>
              </w:rPr>
            </w:pPr>
          </w:p>
          <w:p w:rsidR="001C4068" w:rsidRDefault="001C4068" w:rsidP="00587807">
            <w:pPr>
              <w:rPr>
                <w:sz w:val="20"/>
                <w:szCs w:val="20"/>
              </w:rPr>
            </w:pPr>
          </w:p>
          <w:p w:rsidR="001C4068" w:rsidRPr="00DC4FF2" w:rsidRDefault="001C4068" w:rsidP="00587807">
            <w:pPr>
              <w:rPr>
                <w:sz w:val="20"/>
                <w:szCs w:val="20"/>
              </w:rPr>
            </w:pPr>
          </w:p>
        </w:tc>
      </w:tr>
      <w:tr w:rsidR="003C2C2E" w:rsidRPr="00DC4FF2" w:rsidTr="003C2C2E">
        <w:trPr>
          <w:cantSplit/>
          <w:trHeight w:val="3147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9E64C1" w:rsidRDefault="009E64C1" w:rsidP="00F8367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E64C1" w:rsidRDefault="009E64C1" w:rsidP="00884943">
            <w:pPr>
              <w:rPr>
                <w:i/>
                <w:sz w:val="20"/>
                <w:szCs w:val="20"/>
              </w:rPr>
            </w:pPr>
          </w:p>
          <w:p w:rsidR="009E64C1" w:rsidRDefault="00497B9D" w:rsidP="008849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Conduct </w:t>
            </w:r>
            <w:r w:rsidR="009E64C1">
              <w:rPr>
                <w:i/>
                <w:sz w:val="20"/>
                <w:szCs w:val="20"/>
              </w:rPr>
              <w:t>weekly</w:t>
            </w:r>
            <w:r w:rsidR="00FB4871">
              <w:rPr>
                <w:i/>
                <w:sz w:val="20"/>
                <w:szCs w:val="20"/>
              </w:rPr>
              <w:t>,</w:t>
            </w:r>
            <w:r w:rsidR="009E64C1">
              <w:rPr>
                <w:i/>
                <w:sz w:val="20"/>
                <w:szCs w:val="20"/>
              </w:rPr>
              <w:t xml:space="preserve"> collaborative</w:t>
            </w:r>
            <w:r w:rsidR="00FB4871">
              <w:rPr>
                <w:i/>
                <w:sz w:val="20"/>
                <w:szCs w:val="20"/>
              </w:rPr>
              <w:t>,</w:t>
            </w:r>
            <w:r w:rsidR="003C2C2E">
              <w:rPr>
                <w:i/>
                <w:sz w:val="20"/>
                <w:szCs w:val="20"/>
              </w:rPr>
              <w:t xml:space="preserve"> teacher team meetings </w:t>
            </w:r>
            <w:r>
              <w:rPr>
                <w:i/>
                <w:sz w:val="20"/>
                <w:szCs w:val="20"/>
              </w:rPr>
              <w:t xml:space="preserve">based on the </w:t>
            </w:r>
            <w:r w:rsidR="009E64C1">
              <w:rPr>
                <w:i/>
                <w:sz w:val="20"/>
                <w:szCs w:val="20"/>
              </w:rPr>
              <w:t xml:space="preserve">4 critical questions. </w:t>
            </w:r>
          </w:p>
          <w:p w:rsidR="009E64C1" w:rsidRPr="00DC4FF2" w:rsidRDefault="009E64C1" w:rsidP="0088494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A35D03" w:rsidRDefault="00A35D03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All staff will continuously engage in weekly collaborative, teacher team meetings, throughout the 2018-19 school year to answer the four critical and guiding questions.</w:t>
            </w:r>
          </w:p>
          <w:p w:rsidR="00A35D03" w:rsidRDefault="00A35D03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want students to learn?</w:t>
            </w:r>
          </w:p>
          <w:p w:rsidR="00A35D03" w:rsidRDefault="00A35D03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know what they have learned it?</w:t>
            </w:r>
          </w:p>
          <w:p w:rsidR="00A35D03" w:rsidRDefault="00A35D03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respond when they don’t?</w:t>
            </w:r>
          </w:p>
          <w:p w:rsidR="00A35D03" w:rsidRDefault="00A35D03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respond when they do?</w:t>
            </w:r>
          </w:p>
          <w:p w:rsidR="00A35D03" w:rsidRDefault="00A35D03" w:rsidP="00A35D03">
            <w:pPr>
              <w:rPr>
                <w:sz w:val="20"/>
                <w:szCs w:val="20"/>
              </w:rPr>
            </w:pPr>
          </w:p>
          <w:p w:rsidR="000C015A" w:rsidRDefault="00B45A86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implement weekly collaborative meeting to answer how mastery</w:t>
            </w:r>
            <w:r w:rsidR="00A35D03" w:rsidRPr="00A35D03">
              <w:rPr>
                <w:sz w:val="20"/>
                <w:szCs w:val="20"/>
              </w:rPr>
              <w:t xml:space="preserve"> of prioritized standards</w:t>
            </w:r>
            <w:r w:rsidR="000C015A" w:rsidRPr="00A35D03">
              <w:rPr>
                <w:sz w:val="20"/>
                <w:szCs w:val="20"/>
              </w:rPr>
              <w:t xml:space="preserve"> will be demonstrated</w:t>
            </w:r>
            <w:r>
              <w:rPr>
                <w:sz w:val="20"/>
                <w:szCs w:val="20"/>
              </w:rPr>
              <w:t xml:space="preserve"> and to r</w:t>
            </w:r>
            <w:r w:rsidR="000C015A" w:rsidRPr="00B45A86">
              <w:rPr>
                <w:sz w:val="20"/>
                <w:szCs w:val="20"/>
              </w:rPr>
              <w:t>eview and edit common formative and summative assessments to align to priority standards</w:t>
            </w:r>
            <w:r>
              <w:rPr>
                <w:sz w:val="20"/>
                <w:szCs w:val="20"/>
              </w:rPr>
              <w:t>.</w:t>
            </w:r>
          </w:p>
          <w:p w:rsidR="00B45A86" w:rsidRDefault="00B45A86" w:rsidP="00B45A86">
            <w:pPr>
              <w:rPr>
                <w:sz w:val="20"/>
                <w:szCs w:val="20"/>
              </w:rPr>
            </w:pPr>
          </w:p>
          <w:p w:rsidR="009E64C1" w:rsidRDefault="00B45A86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Collaboration will focus on planning </w:t>
            </w:r>
            <w:r w:rsidR="000C015A" w:rsidRPr="00B45A86">
              <w:rPr>
                <w:sz w:val="20"/>
                <w:szCs w:val="20"/>
              </w:rPr>
              <w:t xml:space="preserve">balanced and engaging instruction to learn the standards </w:t>
            </w:r>
            <w:r>
              <w:rPr>
                <w:sz w:val="20"/>
                <w:szCs w:val="20"/>
              </w:rPr>
              <w:t>in the most effective ways</w:t>
            </w:r>
            <w:r w:rsidR="000C015A" w:rsidRPr="00B45A86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 xml:space="preserve">it will </w:t>
            </w:r>
            <w:r w:rsidR="000C015A" w:rsidRPr="00B45A86">
              <w:rPr>
                <w:sz w:val="20"/>
                <w:szCs w:val="20"/>
              </w:rPr>
              <w:t>include</w:t>
            </w:r>
            <w:r w:rsidR="005D6E74">
              <w:rPr>
                <w:sz w:val="20"/>
                <w:szCs w:val="20"/>
              </w:rPr>
              <w:t xml:space="preserve"> appropriate</w:t>
            </w:r>
            <w:r w:rsidR="000C015A" w:rsidRPr="00B45A86">
              <w:rPr>
                <w:sz w:val="20"/>
                <w:szCs w:val="20"/>
              </w:rPr>
              <w:t xml:space="preserve"> intervention and</w:t>
            </w:r>
            <w:r>
              <w:rPr>
                <w:sz w:val="20"/>
                <w:szCs w:val="20"/>
              </w:rPr>
              <w:t xml:space="preserve"> enrichment strategies.</w:t>
            </w:r>
          </w:p>
          <w:p w:rsidR="005D6E74" w:rsidRPr="005D6E74" w:rsidRDefault="005D6E74" w:rsidP="005D6E74">
            <w:pPr>
              <w:pStyle w:val="ListParagraph"/>
              <w:rPr>
                <w:sz w:val="20"/>
                <w:szCs w:val="20"/>
              </w:rPr>
            </w:pPr>
          </w:p>
          <w:p w:rsidR="005D6E74" w:rsidRDefault="005D6E74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Collaboration will also occur among special education teachers on instructional practices and data progress monitoring to ensure specialized data driven instruction.  </w:t>
            </w:r>
          </w:p>
          <w:p w:rsidR="007B0D5C" w:rsidRPr="007B0D5C" w:rsidRDefault="007B0D5C" w:rsidP="007B0D5C">
            <w:pPr>
              <w:pStyle w:val="ListParagraph"/>
              <w:rPr>
                <w:sz w:val="20"/>
                <w:szCs w:val="20"/>
              </w:rPr>
            </w:pPr>
          </w:p>
          <w:p w:rsidR="007B0D5C" w:rsidRDefault="007B0D5C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Clarify and improve the Learning Questions that are posted in the classrooms daily.  It should be standards based and student focused.  </w:t>
            </w:r>
          </w:p>
          <w:p w:rsidR="003175EE" w:rsidRPr="003175EE" w:rsidRDefault="003175EE" w:rsidP="003175EE">
            <w:pPr>
              <w:pStyle w:val="ListParagraph"/>
              <w:rPr>
                <w:sz w:val="20"/>
                <w:szCs w:val="20"/>
              </w:rPr>
            </w:pPr>
          </w:p>
          <w:p w:rsidR="003175EE" w:rsidRDefault="003175EE" w:rsidP="003175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and implement STEM lessons in all classes and for all students;  pursue Cobb County STEM Certification for the 2018-19 school year</w:t>
            </w:r>
          </w:p>
          <w:p w:rsidR="003175EE" w:rsidRPr="007B0D5C" w:rsidRDefault="003175EE" w:rsidP="003175E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A7E8A" w:rsidRPr="002E7A1F" w:rsidRDefault="006A7E8A" w:rsidP="002E7A1F">
            <w:pPr>
              <w:rPr>
                <w:sz w:val="20"/>
                <w:szCs w:val="20"/>
              </w:rPr>
            </w:pPr>
            <w:r w:rsidRPr="002E7A1F">
              <w:rPr>
                <w:sz w:val="20"/>
                <w:szCs w:val="20"/>
              </w:rPr>
              <w:lastRenderedPageBreak/>
              <w:t>Ongoing administrative monitoring of CCCs</w:t>
            </w:r>
            <w:r w:rsidR="004C0DC6" w:rsidRPr="002E7A1F">
              <w:rPr>
                <w:sz w:val="20"/>
                <w:szCs w:val="20"/>
              </w:rPr>
              <w:t>, Subject Area Collaboration Days, and Special Education Collaboration Days</w:t>
            </w:r>
          </w:p>
          <w:p w:rsidR="006A7E8A" w:rsidRDefault="006A7E8A" w:rsidP="006A7E8A">
            <w:pPr>
              <w:pStyle w:val="ListParagraph"/>
              <w:ind w:left="410"/>
              <w:rPr>
                <w:sz w:val="20"/>
                <w:szCs w:val="20"/>
              </w:rPr>
            </w:pPr>
          </w:p>
          <w:p w:rsidR="006A7E8A" w:rsidRPr="002E7A1F" w:rsidRDefault="006A7E8A" w:rsidP="002E7A1F">
            <w:pPr>
              <w:rPr>
                <w:sz w:val="20"/>
                <w:szCs w:val="20"/>
              </w:rPr>
            </w:pPr>
            <w:r w:rsidRPr="002E7A1F">
              <w:rPr>
                <w:sz w:val="20"/>
                <w:szCs w:val="20"/>
              </w:rPr>
              <w:t>Ongoing review of CCC meeting minutes (includes Unit Plan, Team Agenda, and Data Plan)</w:t>
            </w:r>
          </w:p>
          <w:p w:rsidR="006A7E8A" w:rsidRDefault="006A7E8A" w:rsidP="006A7E8A">
            <w:pPr>
              <w:pStyle w:val="ListParagraph"/>
              <w:ind w:left="410"/>
              <w:rPr>
                <w:sz w:val="20"/>
                <w:szCs w:val="20"/>
              </w:rPr>
            </w:pPr>
          </w:p>
          <w:p w:rsidR="006A7E8A" w:rsidRPr="002E7A1F" w:rsidRDefault="006A7E8A" w:rsidP="002E7A1F">
            <w:pPr>
              <w:rPr>
                <w:sz w:val="20"/>
                <w:szCs w:val="20"/>
              </w:rPr>
            </w:pPr>
            <w:r w:rsidRPr="002E7A1F">
              <w:rPr>
                <w:sz w:val="20"/>
                <w:szCs w:val="20"/>
              </w:rPr>
              <w:t>Classroom walks and TKES observations</w:t>
            </w:r>
          </w:p>
          <w:p w:rsidR="006A7E8A" w:rsidRDefault="006A7E8A" w:rsidP="004C0DC6">
            <w:pPr>
              <w:rPr>
                <w:sz w:val="20"/>
                <w:szCs w:val="20"/>
              </w:rPr>
            </w:pPr>
          </w:p>
          <w:p w:rsidR="004C0DC6" w:rsidRPr="00483256" w:rsidRDefault="004C0DC6" w:rsidP="00483256">
            <w:pPr>
              <w:rPr>
                <w:sz w:val="20"/>
                <w:szCs w:val="20"/>
              </w:rPr>
            </w:pPr>
          </w:p>
          <w:p w:rsidR="009E64C1" w:rsidRPr="006A7E8A" w:rsidRDefault="009E64C1" w:rsidP="006A7E8A">
            <w:pPr>
              <w:rPr>
                <w:sz w:val="20"/>
                <w:szCs w:val="20"/>
              </w:rPr>
            </w:pPr>
          </w:p>
          <w:p w:rsidR="008F15F4" w:rsidRDefault="008F15F4" w:rsidP="0077158E">
            <w:pPr>
              <w:jc w:val="center"/>
              <w:rPr>
                <w:b/>
                <w:sz w:val="20"/>
                <w:szCs w:val="20"/>
              </w:rPr>
            </w:pPr>
          </w:p>
          <w:p w:rsidR="008F15F4" w:rsidRPr="008F15F4" w:rsidRDefault="008F15F4" w:rsidP="00707B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F60B69" w:rsidRDefault="00F60B69" w:rsidP="001D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fully-trained</w:t>
            </w:r>
            <w:r w:rsidR="00057020">
              <w:rPr>
                <w:sz w:val="20"/>
                <w:szCs w:val="20"/>
              </w:rPr>
              <w:t xml:space="preserve"> on 4 critical questions</w:t>
            </w:r>
            <w:r w:rsidR="00727A5C">
              <w:rPr>
                <w:sz w:val="20"/>
                <w:szCs w:val="20"/>
              </w:rPr>
              <w:t>, including training on SMART goals</w:t>
            </w:r>
          </w:p>
          <w:p w:rsidR="00992DE6" w:rsidRDefault="00992DE6" w:rsidP="001D797F">
            <w:pPr>
              <w:rPr>
                <w:sz w:val="20"/>
                <w:szCs w:val="20"/>
              </w:rPr>
            </w:pPr>
          </w:p>
          <w:p w:rsidR="00992DE6" w:rsidRDefault="00992DE6" w:rsidP="001D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training to support the 4 questions through professional learning sessions on Tuesdays</w:t>
            </w:r>
          </w:p>
          <w:p w:rsidR="00263775" w:rsidRDefault="00263775" w:rsidP="001D797F">
            <w:pPr>
              <w:rPr>
                <w:sz w:val="20"/>
                <w:szCs w:val="20"/>
              </w:rPr>
            </w:pPr>
          </w:p>
          <w:p w:rsidR="001D797F" w:rsidRDefault="001D797F" w:rsidP="001D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consistent CCC collaboration with n</w:t>
            </w:r>
            <w:r w:rsidR="00734D61">
              <w:rPr>
                <w:sz w:val="20"/>
                <w:szCs w:val="20"/>
              </w:rPr>
              <w:t>orms, roles, agenda, and unit plan in place</w:t>
            </w:r>
            <w:r w:rsidR="00263775">
              <w:rPr>
                <w:sz w:val="20"/>
                <w:szCs w:val="20"/>
              </w:rPr>
              <w:t xml:space="preserve"> </w:t>
            </w:r>
          </w:p>
          <w:p w:rsidR="001D797F" w:rsidRDefault="001D797F" w:rsidP="001D797F">
            <w:pPr>
              <w:rPr>
                <w:sz w:val="20"/>
                <w:szCs w:val="20"/>
              </w:rPr>
            </w:pPr>
          </w:p>
          <w:p w:rsidR="001D797F" w:rsidRDefault="001D797F" w:rsidP="001D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reassessment and re-teaching based on student data increased</w:t>
            </w:r>
            <w:r w:rsidR="00734D61">
              <w:rPr>
                <w:sz w:val="20"/>
                <w:szCs w:val="20"/>
              </w:rPr>
              <w:t xml:space="preserve"> and documented in data notebook and CCC agenda minutes</w:t>
            </w:r>
            <w:r w:rsidR="00695744">
              <w:rPr>
                <w:sz w:val="20"/>
                <w:szCs w:val="20"/>
              </w:rPr>
              <w:t>; some CCCS transitioned to One Note On-line Notebook</w:t>
            </w:r>
          </w:p>
          <w:p w:rsidR="001D797F" w:rsidRDefault="001D797F" w:rsidP="001D797F">
            <w:pPr>
              <w:rPr>
                <w:sz w:val="20"/>
                <w:szCs w:val="20"/>
              </w:rPr>
            </w:pPr>
          </w:p>
          <w:p w:rsidR="00C568D6" w:rsidRDefault="001D797F" w:rsidP="001D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increased among gen ed. and spec. ed. teachers with two protected collaboration days instead of one (Wed and Thurs)</w:t>
            </w:r>
          </w:p>
          <w:p w:rsidR="00C568D6" w:rsidRDefault="00C568D6" w:rsidP="001D797F">
            <w:pPr>
              <w:rPr>
                <w:sz w:val="20"/>
                <w:szCs w:val="20"/>
              </w:rPr>
            </w:pPr>
          </w:p>
          <w:p w:rsidR="00C568D6" w:rsidRDefault="00C568D6" w:rsidP="001D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 teachers utilized a specialized instruction lesson planning template</w:t>
            </w:r>
          </w:p>
          <w:p w:rsidR="001D797F" w:rsidRDefault="001D797F" w:rsidP="001D797F">
            <w:pPr>
              <w:rPr>
                <w:sz w:val="20"/>
                <w:szCs w:val="20"/>
              </w:rPr>
            </w:pPr>
          </w:p>
          <w:p w:rsidR="009E64C1" w:rsidRDefault="00263775" w:rsidP="00F6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Guiding coalition team set up with teacher leaders across subject areas and grades to </w:t>
            </w:r>
            <w:r>
              <w:rPr>
                <w:sz w:val="20"/>
                <w:szCs w:val="20"/>
              </w:rPr>
              <w:lastRenderedPageBreak/>
              <w:t>inform, assist, guide the CCC process in the building</w:t>
            </w:r>
          </w:p>
          <w:p w:rsidR="00B90DDF" w:rsidRDefault="00B90DDF" w:rsidP="00F60B69">
            <w:pPr>
              <w:rPr>
                <w:sz w:val="20"/>
                <w:szCs w:val="20"/>
              </w:rPr>
            </w:pPr>
          </w:p>
          <w:p w:rsidR="00B90DDF" w:rsidRDefault="00B90DDF" w:rsidP="00F6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who meet the qualifications can earn high school credit for successful completion of Algebra, Physical Science, Spanish I, and Visual Arts</w:t>
            </w:r>
          </w:p>
          <w:p w:rsidR="00B90DDF" w:rsidRDefault="00B90DDF" w:rsidP="00F60B69">
            <w:pPr>
              <w:rPr>
                <w:sz w:val="20"/>
                <w:szCs w:val="20"/>
              </w:rPr>
            </w:pPr>
          </w:p>
          <w:p w:rsidR="00B90DDF" w:rsidRDefault="00B90DDF" w:rsidP="00F6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utilized the on-line science course offered through Georgia Virtual Learning</w:t>
            </w:r>
          </w:p>
          <w:p w:rsidR="003175EE" w:rsidRDefault="003175EE" w:rsidP="00F60B69">
            <w:pPr>
              <w:rPr>
                <w:sz w:val="20"/>
                <w:szCs w:val="20"/>
              </w:rPr>
            </w:pPr>
          </w:p>
          <w:p w:rsidR="003175EE" w:rsidRDefault="003175EE" w:rsidP="0031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 and Technology teacher added to the staff to support students and teachers and the Learning Commons model has continued to progress and also supports STEM lessons</w:t>
            </w:r>
          </w:p>
          <w:p w:rsidR="003175EE" w:rsidRPr="005F284D" w:rsidRDefault="003175EE" w:rsidP="003175EE">
            <w:pPr>
              <w:rPr>
                <w:sz w:val="20"/>
                <w:szCs w:val="20"/>
              </w:rPr>
            </w:pPr>
          </w:p>
          <w:p w:rsidR="003175EE" w:rsidRPr="003175EE" w:rsidRDefault="003175EE" w:rsidP="00F6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 team is operational and prepared to pursue Cobb County STEM certification for the 2018-19 school year </w:t>
            </w:r>
          </w:p>
        </w:tc>
      </w:tr>
    </w:tbl>
    <w:p w:rsidR="00695744" w:rsidRDefault="00695744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4E093D" w:rsidRDefault="00E70A3E" w:rsidP="003C2C2E">
      <w:pPr>
        <w:spacing w:after="0" w:line="240" w:lineRule="auto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587807" w:rsidRPr="001845DE">
        <w:rPr>
          <w:rFonts w:eastAsiaTheme="minorEastAsia"/>
          <w:bCs/>
          <w:iCs/>
          <w:sz w:val="36"/>
          <w:szCs w:val="36"/>
        </w:rPr>
        <w:t xml:space="preserve"> Goal 2: </w:t>
      </w:r>
      <w:r w:rsidR="00587807" w:rsidRPr="001845DE">
        <w:rPr>
          <w:rFonts w:eastAsiaTheme="minorEastAsia"/>
          <w:b/>
          <w:bCs/>
          <w:i/>
          <w:iCs/>
          <w:sz w:val="32"/>
          <w:szCs w:val="32"/>
        </w:rPr>
        <w:t>Differentiate resources for students based on needs</w:t>
      </w:r>
      <w:r w:rsidR="005E7A6B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4B154C" w:rsidRDefault="00B67696" w:rsidP="000B4F42">
      <w:pPr>
        <w:spacing w:after="0" w:line="240" w:lineRule="auto"/>
        <w:ind w:left="-270"/>
        <w:rPr>
          <w:rFonts w:eastAsiaTheme="minorEastAsia"/>
          <w:b/>
          <w:sz w:val="20"/>
          <w:szCs w:val="20"/>
        </w:rPr>
      </w:pPr>
    </w:p>
    <w:tbl>
      <w:tblPr>
        <w:tblStyle w:val="TableGrid"/>
        <w:tblW w:w="1464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75"/>
        <w:gridCol w:w="2232"/>
        <w:gridCol w:w="4680"/>
        <w:gridCol w:w="2250"/>
        <w:gridCol w:w="3510"/>
      </w:tblGrid>
      <w:tr w:rsidR="009E64C1" w:rsidRPr="00DC4FF2" w:rsidTr="003C2C2E">
        <w:trPr>
          <w:cantSplit/>
          <w:trHeight w:val="359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BF2C1D" w:rsidRDefault="00B67696" w:rsidP="00B67696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 xml:space="preserve">Superintendent‘s </w:t>
            </w:r>
            <w:r w:rsidR="009E64C1" w:rsidRPr="00BF2C1D">
              <w:rPr>
                <w:b/>
                <w:bCs/>
                <w:i/>
                <w:iCs/>
                <w:color w:val="FFFFFF" w:themeColor="background1"/>
              </w:rPr>
              <w:t>Priorities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5733A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BF2C1D" w:rsidRDefault="009E64C1" w:rsidP="005733A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 xml:space="preserve">District </w:t>
            </w:r>
            <w:r w:rsidRPr="00BF2C1D">
              <w:rPr>
                <w:b/>
                <w:bCs/>
                <w:i/>
                <w:iCs/>
                <w:color w:val="FFFFFF" w:themeColor="background1"/>
              </w:rPr>
              <w:t>Initia</w:t>
            </w:r>
            <w:r>
              <w:rPr>
                <w:b/>
                <w:bCs/>
                <w:i/>
                <w:iCs/>
                <w:color w:val="FFFFFF" w:themeColor="background1"/>
              </w:rPr>
              <w:t>ti</w:t>
            </w:r>
            <w:r w:rsidRPr="00BF2C1D">
              <w:rPr>
                <w:b/>
                <w:bCs/>
                <w:i/>
                <w:iCs/>
                <w:color w:val="FFFFFF" w:themeColor="background1"/>
              </w:rPr>
              <w:t>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Local School </w:t>
            </w:r>
            <w:r w:rsidRPr="004B154C">
              <w:rPr>
                <w:b/>
                <w:bCs/>
                <w:iCs/>
                <w:sz w:val="20"/>
                <w:szCs w:val="20"/>
              </w:rPr>
              <w:t>Key Actions:</w:t>
            </w:r>
          </w:p>
          <w:p w:rsidR="009E64C1" w:rsidRPr="00E15652" w:rsidRDefault="009E64C1" w:rsidP="005733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5733AF">
            <w:pPr>
              <w:jc w:val="center"/>
              <w:rPr>
                <w:b/>
                <w:sz w:val="20"/>
                <w:szCs w:val="20"/>
              </w:rPr>
            </w:pPr>
            <w:r w:rsidRPr="004B154C">
              <w:rPr>
                <w:b/>
                <w:bCs/>
                <w:iCs/>
                <w:sz w:val="20"/>
                <w:szCs w:val="20"/>
              </w:rPr>
              <w:t>Measured by: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C3362E" w:rsidRDefault="009E64C1" w:rsidP="002F1AE3">
            <w:pPr>
              <w:jc w:val="center"/>
              <w:rPr>
                <w:bCs/>
                <w:iCs/>
                <w:sz w:val="20"/>
                <w:szCs w:val="20"/>
                <w:u w:val="single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>(</w:t>
            </w:r>
            <w:r>
              <w:rPr>
                <w:bCs/>
                <w:iCs/>
                <w:sz w:val="20"/>
                <w:szCs w:val="20"/>
                <w:u w:val="single"/>
              </w:rPr>
              <w:t>Due September 1</w:t>
            </w:r>
            <w:r w:rsidRPr="00C3362E">
              <w:rPr>
                <w:bCs/>
                <w:iCs/>
                <w:sz w:val="20"/>
                <w:szCs w:val="20"/>
                <w:u w:val="single"/>
              </w:rPr>
              <w:t>)</w:t>
            </w:r>
          </w:p>
        </w:tc>
      </w:tr>
      <w:tr w:rsidR="009E64C1" w:rsidRPr="00DC4FF2" w:rsidTr="003C2C2E">
        <w:trPr>
          <w:cantSplit/>
          <w:trHeight w:val="2202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BD1C5A">
            <w:pPr>
              <w:rPr>
                <w:sz w:val="20"/>
                <w:szCs w:val="20"/>
              </w:rPr>
            </w:pPr>
          </w:p>
          <w:p w:rsidR="009E64C1" w:rsidRPr="004D14C2" w:rsidRDefault="009E64C1" w:rsidP="00BD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data to make decisions.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3C2C2E">
            <w:pPr>
              <w:pStyle w:val="ListParagraph"/>
              <w:rPr>
                <w:sz w:val="20"/>
                <w:szCs w:val="20"/>
              </w:rPr>
            </w:pPr>
          </w:p>
          <w:p w:rsidR="009E64C1" w:rsidRPr="003C2C2E" w:rsidRDefault="00497B9D" w:rsidP="003C2C2E">
            <w:pPr>
              <w:rPr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Utilize </w:t>
            </w:r>
            <w:r w:rsidR="009E64C1" w:rsidRPr="003C2C2E">
              <w:rPr>
                <w:i/>
                <w:sz w:val="20"/>
                <w:szCs w:val="20"/>
              </w:rPr>
              <w:t xml:space="preserve">CTLS </w:t>
            </w:r>
            <w:r w:rsidRPr="003C2C2E">
              <w:rPr>
                <w:i/>
                <w:sz w:val="20"/>
                <w:szCs w:val="20"/>
              </w:rPr>
              <w:t>to a</w:t>
            </w:r>
            <w:r w:rsidR="009E64C1" w:rsidRPr="003C2C2E">
              <w:rPr>
                <w:i/>
                <w:sz w:val="20"/>
                <w:szCs w:val="20"/>
              </w:rPr>
              <w:t>ssess, develop, deliver, and analyze common formative assessments in all core content areas</w:t>
            </w:r>
            <w:r w:rsidR="009E64C1" w:rsidRPr="003C2C2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4322F" w:rsidRDefault="00E4322F" w:rsidP="00E4322F">
            <w:pPr>
              <w:rPr>
                <w:sz w:val="20"/>
                <w:szCs w:val="20"/>
              </w:rPr>
            </w:pPr>
          </w:p>
          <w:p w:rsidR="00E4322F" w:rsidRDefault="00E4322F" w:rsidP="00E4322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Refine the use of CTLS assessment tool for </w:t>
            </w:r>
            <w:r w:rsidR="00D11ACA">
              <w:rPr>
                <w:sz w:val="20"/>
                <w:szCs w:val="20"/>
              </w:rPr>
              <w:t>the creation of common summative and formative</w:t>
            </w:r>
            <w:r>
              <w:rPr>
                <w:sz w:val="20"/>
                <w:szCs w:val="20"/>
              </w:rPr>
              <w:t xml:space="preserve"> assessments for all units and for the data review process</w:t>
            </w:r>
          </w:p>
          <w:p w:rsidR="00E4322F" w:rsidRDefault="00E4322F" w:rsidP="00E4322F">
            <w:pPr>
              <w:ind w:left="360"/>
              <w:rPr>
                <w:sz w:val="20"/>
                <w:szCs w:val="20"/>
              </w:rPr>
            </w:pPr>
          </w:p>
          <w:p w:rsidR="00E4322F" w:rsidRPr="00E4322F" w:rsidRDefault="00D11ACA" w:rsidP="00E4322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implement balanced assessments and the data reflection process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06B8D" w:rsidRDefault="00E06B8D" w:rsidP="00C92EA0">
            <w:pPr>
              <w:rPr>
                <w:sz w:val="20"/>
                <w:szCs w:val="20"/>
              </w:rPr>
            </w:pPr>
          </w:p>
          <w:p w:rsidR="009E64C1" w:rsidRDefault="00C92EA0" w:rsidP="00C92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in CTLS Assess, as generated by teacher as well as by subject</w:t>
            </w:r>
          </w:p>
          <w:p w:rsidR="008F15F4" w:rsidRPr="00AC4463" w:rsidRDefault="008F15F4" w:rsidP="00C92EA0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E06B8D" w:rsidRDefault="00E06B8D" w:rsidP="00057020">
            <w:pPr>
              <w:rPr>
                <w:sz w:val="20"/>
                <w:szCs w:val="20"/>
              </w:rPr>
            </w:pPr>
          </w:p>
          <w:p w:rsidR="00057020" w:rsidRDefault="00057020" w:rsidP="0005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use </w:t>
            </w:r>
            <w:r w:rsidR="00D11ACA">
              <w:rPr>
                <w:sz w:val="20"/>
                <w:szCs w:val="20"/>
              </w:rPr>
              <w:t xml:space="preserve">of CTLS data </w:t>
            </w:r>
            <w:r>
              <w:rPr>
                <w:sz w:val="20"/>
                <w:szCs w:val="20"/>
              </w:rPr>
              <w:t>(</w:t>
            </w:r>
            <w:r w:rsidR="00D11ACA"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>one formative and one summative assessment per unit)</w:t>
            </w:r>
          </w:p>
          <w:p w:rsidR="00D11ACA" w:rsidRDefault="00D11ACA" w:rsidP="00057020">
            <w:pPr>
              <w:rPr>
                <w:sz w:val="20"/>
                <w:szCs w:val="20"/>
              </w:rPr>
            </w:pPr>
          </w:p>
          <w:p w:rsidR="00D11ACA" w:rsidRDefault="00D11ACA" w:rsidP="0005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reassessment and re-teaching based on student data increased</w:t>
            </w:r>
          </w:p>
          <w:p w:rsidR="009E64C1" w:rsidRDefault="009E64C1" w:rsidP="00057020">
            <w:pPr>
              <w:rPr>
                <w:sz w:val="20"/>
                <w:szCs w:val="20"/>
              </w:rPr>
            </w:pPr>
          </w:p>
          <w:p w:rsidR="00E4322F" w:rsidRPr="00DC4FF2" w:rsidRDefault="00E4322F" w:rsidP="0005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  <w:r w:rsidR="00D11ACA">
              <w:rPr>
                <w:sz w:val="20"/>
                <w:szCs w:val="20"/>
              </w:rPr>
              <w:t xml:space="preserve"> fully</w:t>
            </w:r>
            <w:r>
              <w:rPr>
                <w:sz w:val="20"/>
                <w:szCs w:val="20"/>
              </w:rPr>
              <w:t xml:space="preserve"> trained in how to do constructed response items in CTLS</w:t>
            </w:r>
          </w:p>
        </w:tc>
      </w:tr>
      <w:tr w:rsidR="009E64C1" w:rsidRPr="00DC4FF2" w:rsidTr="003C2C2E">
        <w:trPr>
          <w:cantSplit/>
          <w:trHeight w:val="232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9E64C1" w:rsidRPr="00715CC8" w:rsidRDefault="009E64C1" w:rsidP="003C2C2E">
            <w:pPr>
              <w:pStyle w:val="ListParagraph"/>
              <w:rPr>
                <w:b/>
                <w:sz w:val="20"/>
                <w:szCs w:val="20"/>
              </w:rPr>
            </w:pPr>
          </w:p>
          <w:p w:rsidR="009E64C1" w:rsidRPr="003C2C2E" w:rsidRDefault="00497B9D" w:rsidP="003C2C2E">
            <w:pPr>
              <w:rPr>
                <w:b/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>Deliver, analyze, and adjust instruction in reading and math</w:t>
            </w:r>
            <w:r w:rsidR="00FB4871" w:rsidRPr="003C2C2E">
              <w:rPr>
                <w:i/>
                <w:sz w:val="20"/>
                <w:szCs w:val="20"/>
              </w:rPr>
              <w:t>,</w:t>
            </w:r>
            <w:r w:rsidRPr="003C2C2E">
              <w:rPr>
                <w:i/>
                <w:sz w:val="20"/>
                <w:szCs w:val="20"/>
              </w:rPr>
              <w:t xml:space="preserve"> utilizing data from Universal Screener (RI and MI).</w:t>
            </w:r>
            <w:r w:rsidR="009E64C1" w:rsidRPr="003C2C2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  <w:p w:rsidR="009E64C1" w:rsidRPr="00E06B8D" w:rsidRDefault="00E06B8D" w:rsidP="00E06B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Administer </w:t>
            </w:r>
            <w:r w:rsidR="007B0D5C">
              <w:rPr>
                <w:sz w:val="20"/>
                <w:szCs w:val="20"/>
              </w:rPr>
              <w:t>the RI and MI according to district protocol for</w:t>
            </w:r>
            <w:r>
              <w:rPr>
                <w:sz w:val="20"/>
                <w:szCs w:val="20"/>
              </w:rPr>
              <w:t xml:space="preserve"> the </w:t>
            </w:r>
            <w:r w:rsidR="007B0D5C">
              <w:rPr>
                <w:sz w:val="20"/>
                <w:szCs w:val="20"/>
              </w:rPr>
              <w:t xml:space="preserve">2018-19 </w:t>
            </w:r>
            <w:r>
              <w:rPr>
                <w:sz w:val="20"/>
                <w:szCs w:val="20"/>
              </w:rPr>
              <w:t>school year and use the data to deliver, analyze, and adjust instruction</w:t>
            </w:r>
          </w:p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06B8D" w:rsidRDefault="00E06B8D" w:rsidP="00BC3795">
            <w:pPr>
              <w:rPr>
                <w:sz w:val="20"/>
                <w:szCs w:val="20"/>
              </w:rPr>
            </w:pPr>
          </w:p>
          <w:p w:rsidR="009E64C1" w:rsidRDefault="00147049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and MI Data</w:t>
            </w:r>
          </w:p>
          <w:p w:rsidR="008F15F4" w:rsidRPr="00AC4463" w:rsidRDefault="008F15F4" w:rsidP="00BC379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E06B8D" w:rsidRDefault="00E06B8D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and MI data analyzed in CCCs when planning and adjusting instruction and for intervention and enrichment activities</w:t>
            </w:r>
          </w:p>
          <w:p w:rsidR="00E06B8D" w:rsidRDefault="00E06B8D" w:rsidP="00BC3795">
            <w:pPr>
              <w:rPr>
                <w:sz w:val="20"/>
                <w:szCs w:val="20"/>
              </w:rPr>
            </w:pPr>
          </w:p>
          <w:p w:rsidR="00E06B8D" w:rsidRDefault="00E06B8D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 </w:t>
            </w:r>
            <w:r w:rsidR="007B0D5C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one component used for placing student in appropriate course (on-level or AC)</w:t>
            </w:r>
            <w:r w:rsidR="007B0D5C">
              <w:rPr>
                <w:sz w:val="20"/>
                <w:szCs w:val="20"/>
              </w:rPr>
              <w:t xml:space="preserve"> for grades 7 and 8</w:t>
            </w:r>
          </w:p>
          <w:p w:rsidR="00E06B8D" w:rsidRPr="00DC4FF2" w:rsidRDefault="00E06B8D" w:rsidP="00BC3795">
            <w:pPr>
              <w:rPr>
                <w:sz w:val="20"/>
                <w:szCs w:val="20"/>
              </w:rPr>
            </w:pPr>
          </w:p>
        </w:tc>
      </w:tr>
      <w:tr w:rsidR="009E64C1" w:rsidRPr="00DC4FF2" w:rsidTr="003C2C2E">
        <w:trPr>
          <w:cantSplit/>
          <w:trHeight w:val="232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9E64C1" w:rsidRPr="00715CC8" w:rsidRDefault="009E64C1" w:rsidP="003C2C2E">
            <w:pPr>
              <w:pStyle w:val="ListParagraph"/>
              <w:rPr>
                <w:b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/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>Increase percentage of student</w:t>
            </w:r>
            <w:r w:rsidR="00497B9D" w:rsidRPr="003C2C2E">
              <w:rPr>
                <w:i/>
                <w:sz w:val="20"/>
                <w:szCs w:val="20"/>
              </w:rPr>
              <w:t>s performing at grade level in reading and math.</w:t>
            </w:r>
          </w:p>
          <w:p w:rsidR="009E64C1" w:rsidRPr="001D62B3" w:rsidRDefault="009E64C1" w:rsidP="003C2C2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E64C1" w:rsidRDefault="00E06B8D" w:rsidP="00E06B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reading to all students in 6</w:t>
            </w:r>
            <w:r w:rsidRPr="00E06B8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</w:t>
            </w:r>
            <w:r w:rsidRPr="00E06B8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and 8</w:t>
            </w:r>
            <w:r w:rsidRPr="00E06B8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with appropriate course placement (on-level or AC)</w:t>
            </w:r>
          </w:p>
          <w:p w:rsidR="00E06B8D" w:rsidRDefault="00E06B8D" w:rsidP="00E06B8D">
            <w:pPr>
              <w:pStyle w:val="ListParagraph"/>
              <w:rPr>
                <w:sz w:val="20"/>
                <w:szCs w:val="20"/>
              </w:rPr>
            </w:pPr>
          </w:p>
          <w:p w:rsidR="00E06B8D" w:rsidRDefault="00E06B8D" w:rsidP="00E06B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Read-180 instruction for any student reading two grades below expectations</w:t>
            </w:r>
          </w:p>
          <w:p w:rsidR="00E06B8D" w:rsidRPr="00E06B8D" w:rsidRDefault="00E06B8D" w:rsidP="00E06B8D">
            <w:pPr>
              <w:pStyle w:val="ListParagraph"/>
              <w:rPr>
                <w:sz w:val="20"/>
                <w:szCs w:val="20"/>
              </w:rPr>
            </w:pPr>
          </w:p>
          <w:p w:rsidR="00E06B8D" w:rsidRDefault="00E06B8D" w:rsidP="00E06B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Math, Reading, and Writing Labs to all students for re-teaching and re-enforcement</w:t>
            </w:r>
          </w:p>
          <w:p w:rsidR="00E06B8D" w:rsidRPr="00E06B8D" w:rsidRDefault="00E06B8D" w:rsidP="00E06B8D">
            <w:pPr>
              <w:pStyle w:val="ListParagraph"/>
              <w:rPr>
                <w:sz w:val="20"/>
                <w:szCs w:val="20"/>
              </w:rPr>
            </w:pPr>
          </w:p>
          <w:p w:rsidR="00E06B8D" w:rsidRDefault="00E06B8D" w:rsidP="00E06B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Math Connections to students in 8</w:t>
            </w:r>
            <w:r w:rsidRPr="00E06B8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that need support</w:t>
            </w:r>
          </w:p>
          <w:p w:rsidR="00E06B8D" w:rsidRPr="00E06B8D" w:rsidRDefault="00E06B8D" w:rsidP="00E06B8D">
            <w:pPr>
              <w:pStyle w:val="ListParagraph"/>
              <w:rPr>
                <w:sz w:val="20"/>
                <w:szCs w:val="20"/>
              </w:rPr>
            </w:pPr>
          </w:p>
          <w:p w:rsidR="00E06B8D" w:rsidRDefault="00E06B8D" w:rsidP="00E06B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Offer math tutoring to struggling students through Socrates Tutoring Program (tut</w:t>
            </w:r>
            <w:r w:rsidR="005A3DDC">
              <w:rPr>
                <w:sz w:val="20"/>
                <w:szCs w:val="20"/>
              </w:rPr>
              <w:t>ors from a partner in education and coordinated by counselors)</w:t>
            </w:r>
          </w:p>
          <w:p w:rsidR="00BE2C76" w:rsidRPr="00BE2C76" w:rsidRDefault="00BE2C76" w:rsidP="00BE2C76">
            <w:pPr>
              <w:pStyle w:val="ListParagraph"/>
              <w:rPr>
                <w:sz w:val="20"/>
                <w:szCs w:val="20"/>
              </w:rPr>
            </w:pPr>
          </w:p>
          <w:p w:rsidR="00BE2C76" w:rsidRDefault="00BE2C76" w:rsidP="00E06B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and utilize the RTI2 and retention process to support struggling students by involving all stakeholders and widen the interventions available</w:t>
            </w:r>
          </w:p>
          <w:p w:rsidR="00BE2C76" w:rsidRDefault="00BE2C76" w:rsidP="00BE2C76">
            <w:pPr>
              <w:rPr>
                <w:sz w:val="20"/>
                <w:szCs w:val="20"/>
              </w:rPr>
            </w:pPr>
          </w:p>
          <w:p w:rsidR="00A70E09" w:rsidRDefault="00A70E09" w:rsidP="00A70E0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implement the Coaching Model for special education students in the 8</w:t>
            </w:r>
            <w:r w:rsidRPr="00A70E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:rsidR="00A70E09" w:rsidRPr="003175EE" w:rsidRDefault="00A70E09" w:rsidP="003175EE">
            <w:pPr>
              <w:rPr>
                <w:sz w:val="20"/>
                <w:szCs w:val="20"/>
              </w:rPr>
            </w:pPr>
          </w:p>
          <w:p w:rsidR="00A70E09" w:rsidRDefault="00A70E09" w:rsidP="00A70E0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Refine implementation of a student mentor for at-risk students program called KICKS (Kids in Contact with Kids) to assist/connect with MOID (CHAMPS CLASS) students </w:t>
            </w:r>
          </w:p>
          <w:p w:rsidR="005F284D" w:rsidRPr="00D03917" w:rsidRDefault="005F284D" w:rsidP="00D03917">
            <w:pPr>
              <w:rPr>
                <w:sz w:val="20"/>
                <w:szCs w:val="20"/>
              </w:rPr>
            </w:pPr>
          </w:p>
          <w:p w:rsidR="005F284D" w:rsidRPr="00A70E09" w:rsidRDefault="00D03917" w:rsidP="00A70E0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implement the state guidelines for attendance monitoring at 3, 5, and 7 absences and the Truancy Intervention Panels</w:t>
            </w:r>
          </w:p>
        </w:tc>
        <w:tc>
          <w:tcPr>
            <w:tcW w:w="2250" w:type="dxa"/>
          </w:tcPr>
          <w:p w:rsidR="008F15F4" w:rsidRDefault="00147049" w:rsidP="00D1593D">
            <w:pPr>
              <w:rPr>
                <w:sz w:val="20"/>
                <w:szCs w:val="20"/>
              </w:rPr>
            </w:pPr>
            <w:r w:rsidRPr="00147049">
              <w:rPr>
                <w:sz w:val="20"/>
                <w:szCs w:val="20"/>
              </w:rPr>
              <w:lastRenderedPageBreak/>
              <w:t>CCRPI Data</w:t>
            </w:r>
          </w:p>
          <w:p w:rsidR="002E7A1F" w:rsidRDefault="002E7A1F" w:rsidP="00D1593D">
            <w:pPr>
              <w:rPr>
                <w:sz w:val="20"/>
                <w:szCs w:val="20"/>
              </w:rPr>
            </w:pPr>
          </w:p>
          <w:p w:rsidR="00635BFB" w:rsidRDefault="00635BFB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EOG and EOC Milestone Data</w:t>
            </w:r>
          </w:p>
          <w:p w:rsidR="00635BFB" w:rsidRDefault="00635BFB" w:rsidP="00D1593D">
            <w:pPr>
              <w:rPr>
                <w:sz w:val="20"/>
                <w:szCs w:val="20"/>
              </w:rPr>
            </w:pPr>
          </w:p>
          <w:p w:rsidR="00635BFB" w:rsidRDefault="00635BFB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Data</w:t>
            </w:r>
          </w:p>
          <w:p w:rsidR="00635BFB" w:rsidRDefault="00635BFB" w:rsidP="00D1593D">
            <w:pPr>
              <w:rPr>
                <w:sz w:val="20"/>
                <w:szCs w:val="20"/>
              </w:rPr>
            </w:pPr>
          </w:p>
          <w:p w:rsidR="00635BFB" w:rsidRDefault="00635BFB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RTI2</w:t>
            </w:r>
          </w:p>
          <w:p w:rsidR="00635BFB" w:rsidRDefault="00635BFB" w:rsidP="00D1593D">
            <w:pPr>
              <w:rPr>
                <w:sz w:val="20"/>
                <w:szCs w:val="20"/>
              </w:rPr>
            </w:pPr>
          </w:p>
          <w:p w:rsidR="00635BFB" w:rsidRDefault="00635BFB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Data</w:t>
            </w:r>
          </w:p>
          <w:p w:rsidR="002E7A1F" w:rsidRPr="00147049" w:rsidRDefault="002E7A1F" w:rsidP="00D1593D">
            <w:pPr>
              <w:rPr>
                <w:sz w:val="20"/>
                <w:szCs w:val="20"/>
              </w:rPr>
            </w:pPr>
          </w:p>
          <w:p w:rsidR="008F15F4" w:rsidRPr="00AC4463" w:rsidRDefault="008F15F4" w:rsidP="00D1593D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64C1" w:rsidRDefault="00186398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connections was implemented for 7</w:t>
            </w:r>
            <w:r w:rsidRPr="0018639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8</w:t>
            </w:r>
            <w:r w:rsidRPr="0018639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identified students; </w:t>
            </w:r>
            <w:r w:rsidR="00B7761F">
              <w:rPr>
                <w:sz w:val="20"/>
                <w:szCs w:val="20"/>
              </w:rPr>
              <w:t>Read 180- was set up for 6</w:t>
            </w:r>
            <w:r w:rsidR="00B7761F" w:rsidRPr="00B7761F">
              <w:rPr>
                <w:sz w:val="20"/>
                <w:szCs w:val="20"/>
                <w:vertAlign w:val="superscript"/>
              </w:rPr>
              <w:t>th</w:t>
            </w:r>
            <w:r w:rsidR="00B7761F">
              <w:rPr>
                <w:sz w:val="20"/>
                <w:szCs w:val="20"/>
              </w:rPr>
              <w:t>, 7</w:t>
            </w:r>
            <w:r w:rsidR="00B7761F" w:rsidRPr="00B7761F">
              <w:rPr>
                <w:sz w:val="20"/>
                <w:szCs w:val="20"/>
                <w:vertAlign w:val="superscript"/>
              </w:rPr>
              <w:t>th</w:t>
            </w:r>
            <w:r w:rsidR="00B7761F">
              <w:rPr>
                <w:sz w:val="20"/>
                <w:szCs w:val="20"/>
              </w:rPr>
              <w:t>, and 8</w:t>
            </w:r>
            <w:r w:rsidR="00B7761F" w:rsidRPr="00B7761F">
              <w:rPr>
                <w:sz w:val="20"/>
                <w:szCs w:val="20"/>
                <w:vertAlign w:val="superscript"/>
              </w:rPr>
              <w:t>th</w:t>
            </w:r>
            <w:r w:rsidR="005F284D">
              <w:rPr>
                <w:sz w:val="20"/>
                <w:szCs w:val="20"/>
              </w:rPr>
              <w:t xml:space="preserve"> grade students;</w:t>
            </w:r>
            <w:r>
              <w:rPr>
                <w:sz w:val="20"/>
                <w:szCs w:val="20"/>
              </w:rPr>
              <w:t xml:space="preserve"> stud</w:t>
            </w:r>
            <w:r w:rsidR="005F284D">
              <w:rPr>
                <w:sz w:val="20"/>
                <w:szCs w:val="20"/>
              </w:rPr>
              <w:t xml:space="preserve">ents enter or exit in/out of </w:t>
            </w:r>
            <w:r>
              <w:rPr>
                <w:sz w:val="20"/>
                <w:szCs w:val="20"/>
              </w:rPr>
              <w:t>class as need</w:t>
            </w:r>
            <w:r w:rsidR="005F284D">
              <w:rPr>
                <w:sz w:val="20"/>
                <w:szCs w:val="20"/>
              </w:rPr>
              <w:t xml:space="preserve">ed each </w:t>
            </w:r>
            <w:r>
              <w:rPr>
                <w:sz w:val="20"/>
                <w:szCs w:val="20"/>
              </w:rPr>
              <w:t>quarter</w:t>
            </w:r>
          </w:p>
          <w:p w:rsidR="00602BF4" w:rsidRDefault="00602BF4" w:rsidP="00D1593D">
            <w:pPr>
              <w:rPr>
                <w:sz w:val="20"/>
                <w:szCs w:val="20"/>
              </w:rPr>
            </w:pPr>
          </w:p>
          <w:p w:rsidR="00602BF4" w:rsidRDefault="005F284D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lab </w:t>
            </w:r>
            <w:r w:rsidR="00602BF4">
              <w:rPr>
                <w:sz w:val="20"/>
                <w:szCs w:val="20"/>
              </w:rPr>
              <w:t>offer</w:t>
            </w:r>
            <w:r>
              <w:rPr>
                <w:sz w:val="20"/>
                <w:szCs w:val="20"/>
              </w:rPr>
              <w:t xml:space="preserve">ed to all students; mid-year </w:t>
            </w:r>
            <w:r w:rsidR="00602BF4">
              <w:rPr>
                <w:sz w:val="20"/>
                <w:szCs w:val="20"/>
              </w:rPr>
              <w:t>increased this from one day to two days a week based on student need</w:t>
            </w:r>
          </w:p>
          <w:p w:rsidR="00602BF4" w:rsidRDefault="00602BF4" w:rsidP="00D1593D">
            <w:pPr>
              <w:rPr>
                <w:sz w:val="20"/>
                <w:szCs w:val="20"/>
              </w:rPr>
            </w:pPr>
          </w:p>
          <w:p w:rsidR="00602BF4" w:rsidRDefault="00602BF4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writing lab was offered to all students one day a week</w:t>
            </w:r>
          </w:p>
          <w:p w:rsidR="00602BF4" w:rsidRDefault="00602BF4" w:rsidP="00D1593D">
            <w:pPr>
              <w:rPr>
                <w:sz w:val="20"/>
                <w:szCs w:val="20"/>
              </w:rPr>
            </w:pPr>
          </w:p>
          <w:p w:rsidR="00602BF4" w:rsidRDefault="00602BF4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Socrates tutoring based on need that specifically targeted student</w:t>
            </w:r>
            <w:r w:rsidR="00A72DAA">
              <w:rPr>
                <w:sz w:val="20"/>
                <w:szCs w:val="20"/>
              </w:rPr>
              <w:t xml:space="preserve">s on RTI-Tier 2 or 3 and </w:t>
            </w:r>
            <w:r>
              <w:rPr>
                <w:sz w:val="20"/>
                <w:szCs w:val="20"/>
              </w:rPr>
              <w:t xml:space="preserve"> retention candidates</w:t>
            </w:r>
          </w:p>
          <w:p w:rsidR="00BE2C76" w:rsidRDefault="00BE2C76" w:rsidP="00D1593D">
            <w:pPr>
              <w:rPr>
                <w:sz w:val="20"/>
                <w:szCs w:val="20"/>
              </w:rPr>
            </w:pPr>
          </w:p>
          <w:p w:rsidR="00BE2C76" w:rsidRDefault="00BE2C76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RTI was implemented each month to support struggling students and to identify students in danger of retention</w:t>
            </w:r>
          </w:p>
          <w:p w:rsidR="00BE2C76" w:rsidRDefault="00BE2C76" w:rsidP="00D1593D">
            <w:pPr>
              <w:rPr>
                <w:sz w:val="20"/>
                <w:szCs w:val="20"/>
              </w:rPr>
            </w:pPr>
          </w:p>
          <w:p w:rsidR="00BE2C76" w:rsidRDefault="00BE2C76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EOG retest administered to 8</w:t>
            </w:r>
            <w:r w:rsidRPr="00BE2C7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students that did not meet the minimum criteria to pass Math and ELA/Reading</w:t>
            </w:r>
          </w:p>
          <w:p w:rsidR="00872A6A" w:rsidRDefault="00872A6A" w:rsidP="00D1593D">
            <w:pPr>
              <w:rPr>
                <w:sz w:val="20"/>
                <w:szCs w:val="20"/>
              </w:rPr>
            </w:pPr>
          </w:p>
          <w:p w:rsidR="00A70E09" w:rsidRDefault="00A70E09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model data shows decreased support needed for special education students</w:t>
            </w:r>
          </w:p>
          <w:p w:rsidR="005F284D" w:rsidRDefault="005F284D" w:rsidP="005F284D">
            <w:pPr>
              <w:rPr>
                <w:sz w:val="20"/>
                <w:szCs w:val="20"/>
              </w:rPr>
            </w:pPr>
          </w:p>
          <w:p w:rsidR="005F284D" w:rsidRDefault="005F284D" w:rsidP="005F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mentors fully operational</w:t>
            </w:r>
          </w:p>
          <w:p w:rsidR="00872A6A" w:rsidRDefault="00872A6A" w:rsidP="00D1593D">
            <w:pPr>
              <w:rPr>
                <w:sz w:val="20"/>
                <w:szCs w:val="20"/>
              </w:rPr>
            </w:pPr>
          </w:p>
          <w:p w:rsidR="005F284D" w:rsidRDefault="005F284D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 strategies taught to all students though math classes by counselors through classroom guidance lessons</w:t>
            </w:r>
          </w:p>
          <w:p w:rsidR="005F284D" w:rsidRDefault="005F284D" w:rsidP="00D1593D">
            <w:pPr>
              <w:rPr>
                <w:sz w:val="20"/>
                <w:szCs w:val="20"/>
              </w:rPr>
            </w:pPr>
          </w:p>
          <w:p w:rsidR="00D03917" w:rsidRDefault="00D03917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social worker and counselors conducted a positive incentive program for historically truant students</w:t>
            </w:r>
          </w:p>
          <w:p w:rsidR="00D03917" w:rsidRDefault="00D03917" w:rsidP="00D1593D">
            <w:pPr>
              <w:rPr>
                <w:sz w:val="20"/>
                <w:szCs w:val="20"/>
              </w:rPr>
            </w:pPr>
          </w:p>
          <w:p w:rsidR="005F284D" w:rsidRPr="00186398" w:rsidRDefault="00D03917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Counselors, Administration, Attendance Clerk, Social Worker, and Teachers imp</w:t>
            </w:r>
            <w:r w:rsidR="003175EE">
              <w:rPr>
                <w:sz w:val="20"/>
                <w:szCs w:val="20"/>
              </w:rPr>
              <w:t xml:space="preserve">lemented </w:t>
            </w:r>
            <w:r>
              <w:rPr>
                <w:sz w:val="20"/>
                <w:szCs w:val="20"/>
              </w:rPr>
              <w:t>the truancy model and monitored attendance</w:t>
            </w:r>
          </w:p>
        </w:tc>
      </w:tr>
    </w:tbl>
    <w:p w:rsidR="005A3DDC" w:rsidRDefault="000B4F42" w:rsidP="005F284D">
      <w:pPr>
        <w:pStyle w:val="NoSpacing"/>
        <w:ind w:left="-180" w:hanging="18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4E093D" w:rsidRDefault="00E70A3E" w:rsidP="00EC13DF">
      <w:pPr>
        <w:pStyle w:val="NoSpacing"/>
        <w:rPr>
          <w:b/>
          <w:i/>
          <w:sz w:val="32"/>
        </w:rPr>
      </w:pPr>
      <w:r>
        <w:rPr>
          <w:sz w:val="36"/>
          <w:szCs w:val="36"/>
        </w:rPr>
        <w:t>Board</w:t>
      </w:r>
      <w:r w:rsidR="00587807" w:rsidRPr="001845DE">
        <w:rPr>
          <w:sz w:val="36"/>
          <w:szCs w:val="36"/>
        </w:rPr>
        <w:t xml:space="preserve"> Goal 3: </w:t>
      </w:r>
      <w:r w:rsidR="00587807" w:rsidRPr="009530AF">
        <w:rPr>
          <w:b/>
          <w:i/>
          <w:sz w:val="32"/>
        </w:rPr>
        <w:t>Develop stakeholder involvement to promote student success</w:t>
      </w:r>
      <w:r w:rsidR="00203F76">
        <w:rPr>
          <w:b/>
          <w:i/>
          <w:sz w:val="32"/>
        </w:rPr>
        <w:t>.</w:t>
      </w:r>
    </w:p>
    <w:p w:rsidR="00B67696" w:rsidRPr="009530AF" w:rsidRDefault="00B67696" w:rsidP="00E65F32">
      <w:pPr>
        <w:pStyle w:val="NoSpacing"/>
        <w:ind w:left="-180" w:hanging="90"/>
        <w:jc w:val="center"/>
        <w:rPr>
          <w:b/>
          <w:i/>
          <w:sz w:val="28"/>
          <w:szCs w:val="20"/>
        </w:rPr>
      </w:pPr>
    </w:p>
    <w:tbl>
      <w:tblPr>
        <w:tblStyle w:val="TableGrid"/>
        <w:tblW w:w="1473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57"/>
        <w:gridCol w:w="2250"/>
        <w:gridCol w:w="4680"/>
        <w:gridCol w:w="2250"/>
        <w:gridCol w:w="3600"/>
      </w:tblGrid>
      <w:tr w:rsidR="009E64C1" w:rsidRPr="00DC4FF2" w:rsidTr="003C2C2E">
        <w:trPr>
          <w:cantSplit/>
          <w:trHeight w:val="1125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910581" w:rsidRDefault="009E64C1" w:rsidP="00715CC8">
            <w:pPr>
              <w:jc w:val="center"/>
              <w:rPr>
                <w:sz w:val="20"/>
                <w:szCs w:val="20"/>
              </w:rPr>
            </w:pPr>
          </w:p>
          <w:p w:rsidR="009E64C1" w:rsidRPr="00910581" w:rsidRDefault="009E64C1" w:rsidP="00715CC8">
            <w:pPr>
              <w:jc w:val="center"/>
              <w:rPr>
                <w:sz w:val="20"/>
                <w:szCs w:val="20"/>
              </w:rPr>
            </w:pPr>
          </w:p>
          <w:p w:rsidR="00B67696" w:rsidRDefault="00497B9D" w:rsidP="00B67696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>Superintendent</w:t>
            </w:r>
            <w:r w:rsidR="00B67696">
              <w:rPr>
                <w:b/>
                <w:i/>
                <w:color w:val="FFFFFF" w:themeColor="background1"/>
                <w:szCs w:val="20"/>
              </w:rPr>
              <w:t>’s</w:t>
            </w:r>
          </w:p>
          <w:p w:rsidR="009E64C1" w:rsidRPr="00910581" w:rsidRDefault="009E64C1" w:rsidP="00715CC8">
            <w:pPr>
              <w:jc w:val="center"/>
              <w:rPr>
                <w:b/>
                <w:i/>
                <w:sz w:val="20"/>
                <w:szCs w:val="20"/>
              </w:rPr>
            </w:pPr>
            <w:r w:rsidRPr="00910581">
              <w:rPr>
                <w:b/>
                <w:i/>
                <w:color w:val="FFFFFF" w:themeColor="background1"/>
                <w:szCs w:val="20"/>
              </w:rPr>
              <w:t xml:space="preserve"> Priorities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884943" w:rsidRDefault="009E64C1" w:rsidP="00715CC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 xml:space="preserve">District </w:t>
            </w:r>
            <w:r w:rsidRPr="00884943">
              <w:rPr>
                <w:b/>
                <w:i/>
                <w:color w:val="FFFFFF" w:themeColor="background1"/>
              </w:rPr>
              <w:t>Initiatives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Local School </w:t>
            </w:r>
            <w:r w:rsidRPr="004B154C">
              <w:rPr>
                <w:b/>
                <w:bCs/>
                <w:iCs/>
                <w:sz w:val="20"/>
                <w:szCs w:val="20"/>
              </w:rPr>
              <w:t>Key Actions:</w:t>
            </w:r>
          </w:p>
          <w:p w:rsidR="009E64C1" w:rsidRPr="00E15652" w:rsidRDefault="009E64C1" w:rsidP="00715CC8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715CC8">
            <w:pPr>
              <w:jc w:val="center"/>
              <w:rPr>
                <w:b/>
                <w:sz w:val="20"/>
                <w:szCs w:val="20"/>
              </w:rPr>
            </w:pPr>
            <w:r w:rsidRPr="004B154C">
              <w:rPr>
                <w:b/>
                <w:bCs/>
                <w:iCs/>
                <w:sz w:val="20"/>
                <w:szCs w:val="20"/>
              </w:rPr>
              <w:t>Measured by: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E15652" w:rsidRDefault="009E64C1" w:rsidP="00715C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 xml:space="preserve">(Due </w:t>
            </w:r>
            <w:r>
              <w:rPr>
                <w:bCs/>
                <w:iCs/>
                <w:sz w:val="20"/>
                <w:szCs w:val="20"/>
                <w:u w:val="single"/>
              </w:rPr>
              <w:t>September 1</w:t>
            </w:r>
            <w:r w:rsidRPr="00C3362E">
              <w:rPr>
                <w:bCs/>
                <w:iCs/>
                <w:sz w:val="20"/>
                <w:szCs w:val="20"/>
                <w:u w:val="single"/>
              </w:rPr>
              <w:t>)</w:t>
            </w:r>
          </w:p>
        </w:tc>
      </w:tr>
      <w:tr w:rsidR="009E64C1" w:rsidRPr="00DC4FF2" w:rsidTr="003C2C2E">
        <w:trPr>
          <w:cantSplit/>
          <w:trHeight w:val="2661"/>
        </w:trPr>
        <w:tc>
          <w:tcPr>
            <w:tcW w:w="195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E0195F" w:rsidRDefault="009E64C1" w:rsidP="009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Cobb the best place to teach, lead, </w:t>
            </w:r>
          </w:p>
          <w:p w:rsidR="009E64C1" w:rsidRDefault="009E64C1" w:rsidP="009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learn.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6F3116">
            <w:pPr>
              <w:pStyle w:val="ListParagraph"/>
              <w:rPr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Utilize stakeholder input to improve school processes.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E64C1" w:rsidRDefault="009E64C1" w:rsidP="00715CC8">
            <w:pPr>
              <w:rPr>
                <w:b/>
                <w:sz w:val="20"/>
                <w:szCs w:val="20"/>
              </w:rPr>
            </w:pPr>
          </w:p>
          <w:p w:rsidR="003963CC" w:rsidRDefault="00FE4CA0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 stakeholders through: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PTSA Executive Board and Committees</w:t>
            </w:r>
          </w:p>
          <w:p w:rsidR="001B0487" w:rsidRDefault="001B0487" w:rsidP="001B0487">
            <w:pPr>
              <w:pStyle w:val="ListParagraph"/>
              <w:rPr>
                <w:sz w:val="20"/>
                <w:szCs w:val="20"/>
              </w:rPr>
            </w:pPr>
          </w:p>
          <w:p w:rsidR="00FE4CA0" w:rsidRDefault="00FE4CA0" w:rsidP="00FE4CA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LMMS Foundation</w:t>
            </w:r>
          </w:p>
          <w:p w:rsidR="001B0487" w:rsidRPr="001B0487" w:rsidRDefault="001B0487" w:rsidP="001B0487">
            <w:pPr>
              <w:rPr>
                <w:sz w:val="20"/>
                <w:szCs w:val="20"/>
              </w:rPr>
            </w:pPr>
          </w:p>
          <w:p w:rsidR="00FE4CA0" w:rsidRDefault="00FE4CA0" w:rsidP="00FE4CA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LMMS School Council</w:t>
            </w:r>
          </w:p>
          <w:p w:rsidR="001B0487" w:rsidRPr="001B0487" w:rsidRDefault="001B0487" w:rsidP="001B0487">
            <w:pPr>
              <w:rPr>
                <w:sz w:val="20"/>
                <w:szCs w:val="20"/>
              </w:rPr>
            </w:pPr>
          </w:p>
          <w:p w:rsidR="00FE4CA0" w:rsidRDefault="00FE4CA0" w:rsidP="00FE4CA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Coffee Talks with Principal</w:t>
            </w:r>
          </w:p>
          <w:p w:rsidR="001B0487" w:rsidRPr="001B0487" w:rsidRDefault="001B0487" w:rsidP="001B0487">
            <w:pPr>
              <w:rPr>
                <w:sz w:val="20"/>
                <w:szCs w:val="20"/>
              </w:rPr>
            </w:pPr>
          </w:p>
          <w:p w:rsidR="00FE4CA0" w:rsidRPr="00FE4CA0" w:rsidRDefault="00FE4CA0" w:rsidP="00FE4CA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Topic Parent Meetings- sponsored by the Counselors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B0487" w:rsidRDefault="001B0487" w:rsidP="00715CC8">
            <w:pPr>
              <w:spacing w:after="200" w:line="276" w:lineRule="auto"/>
              <w:rPr>
                <w:sz w:val="20"/>
                <w:szCs w:val="20"/>
              </w:rPr>
            </w:pPr>
          </w:p>
          <w:p w:rsidR="00FE4CA0" w:rsidRDefault="00FE4CA0" w:rsidP="00715CC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Climate Survey Data</w:t>
            </w:r>
          </w:p>
          <w:p w:rsidR="00FE4CA0" w:rsidRDefault="00FE4CA0" w:rsidP="00FE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PTSA Meeting Minutes</w:t>
            </w:r>
          </w:p>
          <w:p w:rsidR="00FE4CA0" w:rsidRDefault="00FE4CA0" w:rsidP="00FE4CA0">
            <w:pPr>
              <w:rPr>
                <w:sz w:val="20"/>
                <w:szCs w:val="20"/>
              </w:rPr>
            </w:pPr>
          </w:p>
          <w:p w:rsidR="00FE4CA0" w:rsidRDefault="00FE4CA0" w:rsidP="00FE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Meeting Minutes</w:t>
            </w:r>
          </w:p>
          <w:p w:rsidR="00FE4CA0" w:rsidRDefault="00FE4CA0" w:rsidP="00FE4CA0">
            <w:pPr>
              <w:rPr>
                <w:sz w:val="20"/>
                <w:szCs w:val="20"/>
              </w:rPr>
            </w:pPr>
          </w:p>
          <w:p w:rsidR="00FE4CA0" w:rsidRPr="00FE4CA0" w:rsidRDefault="00FE4CA0" w:rsidP="00FE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Council Meeting Minutes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E64C1" w:rsidRDefault="009E64C1" w:rsidP="00FE4CA0">
            <w:pPr>
              <w:rPr>
                <w:sz w:val="20"/>
                <w:szCs w:val="20"/>
              </w:rPr>
            </w:pPr>
          </w:p>
          <w:p w:rsidR="00FE4CA0" w:rsidRDefault="00FE4CA0" w:rsidP="00FE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stakeholder events implemented and attended by parents</w:t>
            </w:r>
          </w:p>
          <w:p w:rsidR="00FE4CA0" w:rsidRDefault="00FE4CA0" w:rsidP="00FE4CA0">
            <w:pPr>
              <w:rPr>
                <w:sz w:val="20"/>
                <w:szCs w:val="20"/>
              </w:rPr>
            </w:pPr>
          </w:p>
          <w:p w:rsidR="00FE4CA0" w:rsidRPr="00DC4FF2" w:rsidRDefault="00FE4CA0" w:rsidP="00FE4CA0">
            <w:pPr>
              <w:rPr>
                <w:sz w:val="20"/>
                <w:szCs w:val="20"/>
              </w:rPr>
            </w:pPr>
          </w:p>
        </w:tc>
      </w:tr>
      <w:tr w:rsidR="009E64C1" w:rsidRPr="00DC4FF2" w:rsidTr="003C2C2E">
        <w:trPr>
          <w:cantSplit/>
          <w:trHeight w:val="3309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9E64C1" w:rsidRPr="00DC4FF2" w:rsidRDefault="009E64C1" w:rsidP="00715C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13DF" w:rsidRDefault="00EC13DF" w:rsidP="00EC13DF">
            <w:pPr>
              <w:pStyle w:val="ListParagraph"/>
              <w:rPr>
                <w:i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Establish programs and practices that enhance parental involvement and reflect the needs of students and their families.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promote volunteerism- class and school activities, field trips, lab volunteers, etc…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Cobb Chamber- Principal for the Day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Kennesaw Bus</w:t>
            </w:r>
            <w:r w:rsidR="00056BE8">
              <w:rPr>
                <w:sz w:val="20"/>
                <w:szCs w:val="20"/>
              </w:rPr>
              <w:t>iness Association participation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Day</w:t>
            </w:r>
          </w:p>
          <w:p w:rsidR="00FE4CA0" w:rsidRPr="00C257B1" w:rsidRDefault="00FE4CA0" w:rsidP="00C257B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 Entrepreneurial Extravaganza- EEE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Socrates Club (Partner in Ed. Tutors)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Planning Institute (Partner in Ed. workshops for parents)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Coffee Talk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 Text Alerts- Remind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Night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Rally Week</w:t>
            </w:r>
          </w:p>
          <w:p w:rsidR="00FE4CA0" w:rsidRDefault="00FE4CA0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Carnival Celebration</w:t>
            </w:r>
          </w:p>
          <w:p w:rsidR="00FE4CA0" w:rsidRDefault="00C257B1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Quarterly Honor Roll Recognition and </w:t>
            </w:r>
            <w:r w:rsidR="00FE4CA0">
              <w:rPr>
                <w:sz w:val="20"/>
                <w:szCs w:val="20"/>
              </w:rPr>
              <w:t>End of Year Honors Program</w:t>
            </w:r>
          </w:p>
          <w:p w:rsidR="00FE4CA0" w:rsidRDefault="00C257B1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Performances to highlight student growth in music and drama programs</w:t>
            </w:r>
          </w:p>
          <w:p w:rsidR="00C257B1" w:rsidRDefault="00C257B1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 Education Program- (Character Corner Lessons and Soda Social Student Recognition) </w:t>
            </w:r>
          </w:p>
          <w:p w:rsidR="00C257B1" w:rsidRDefault="00C257B1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 Recognition</w:t>
            </w:r>
          </w:p>
          <w:p w:rsidR="00C257B1" w:rsidRDefault="00C257B1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Eagle Card Celebration- Fun Fridays Each Quarter</w:t>
            </w:r>
          </w:p>
          <w:p w:rsidR="00C257B1" w:rsidRDefault="00C257B1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Strength</w:t>
            </w:r>
          </w:p>
          <w:p w:rsidR="00056BE8" w:rsidRPr="00FE4CA0" w:rsidRDefault="00056BE8" w:rsidP="00FE4CA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PTSA Email Blasts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8F15F4" w:rsidRPr="00AC4463" w:rsidRDefault="003D7BC8" w:rsidP="00715CC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School- Parent </w:t>
            </w:r>
            <w:r w:rsidR="00230CE1">
              <w:rPr>
                <w:sz w:val="20"/>
                <w:szCs w:val="20"/>
              </w:rPr>
              <w:t xml:space="preserve">and Community </w:t>
            </w:r>
            <w:r>
              <w:rPr>
                <w:sz w:val="20"/>
                <w:szCs w:val="20"/>
              </w:rPr>
              <w:t>Feedback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C257B1" w:rsidRDefault="00C257B1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 recognition, and parent involvement programs implemented and increased engagement</w:t>
            </w:r>
          </w:p>
          <w:p w:rsidR="00C257B1" w:rsidRDefault="00C257B1" w:rsidP="00715CC8">
            <w:pPr>
              <w:rPr>
                <w:sz w:val="20"/>
                <w:szCs w:val="20"/>
              </w:rPr>
            </w:pPr>
          </w:p>
          <w:p w:rsidR="00C257B1" w:rsidRDefault="00C257B1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MOID (CHAMPS) increased parent involvement with more afterschool socials for peers and their families, with some KICKS students also attending</w:t>
            </w:r>
          </w:p>
          <w:p w:rsidR="00C257B1" w:rsidRDefault="00C257B1" w:rsidP="00715CC8">
            <w:pPr>
              <w:rPr>
                <w:sz w:val="20"/>
                <w:szCs w:val="20"/>
              </w:rPr>
            </w:pPr>
          </w:p>
          <w:p w:rsidR="00C257B1" w:rsidRDefault="00C257B1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Fun Fridays celebrations this year at the end of each quarter for clean Eagle Cards as a positive incentive for good behavior</w:t>
            </w:r>
          </w:p>
          <w:p w:rsidR="00C257B1" w:rsidRDefault="00C257B1" w:rsidP="00715CC8">
            <w:pPr>
              <w:rPr>
                <w:sz w:val="20"/>
                <w:szCs w:val="20"/>
              </w:rPr>
            </w:pPr>
          </w:p>
          <w:p w:rsidR="00C257B1" w:rsidRDefault="00C257B1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 implemented all year</w:t>
            </w:r>
          </w:p>
          <w:p w:rsidR="00C257B1" w:rsidRDefault="00C257B1" w:rsidP="00715CC8">
            <w:pPr>
              <w:rPr>
                <w:sz w:val="20"/>
                <w:szCs w:val="20"/>
              </w:rPr>
            </w:pPr>
          </w:p>
          <w:p w:rsidR="00C257B1" w:rsidRDefault="00C257B1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 Roll Recognition for all three grades</w:t>
            </w:r>
          </w:p>
          <w:p w:rsidR="00C257B1" w:rsidRDefault="00C257B1" w:rsidP="00715CC8">
            <w:pPr>
              <w:rPr>
                <w:sz w:val="20"/>
                <w:szCs w:val="20"/>
              </w:rPr>
            </w:pPr>
          </w:p>
          <w:p w:rsidR="00C257B1" w:rsidRDefault="00C257B1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Strength purchased for implementation in 2018-19</w:t>
            </w:r>
          </w:p>
          <w:p w:rsidR="00C257B1" w:rsidRDefault="00C257B1" w:rsidP="00715CC8">
            <w:pPr>
              <w:rPr>
                <w:sz w:val="20"/>
                <w:szCs w:val="20"/>
              </w:rPr>
            </w:pPr>
          </w:p>
          <w:p w:rsidR="00C257B1" w:rsidRPr="00DC4FF2" w:rsidRDefault="00C257B1" w:rsidP="00715CC8">
            <w:pPr>
              <w:rPr>
                <w:sz w:val="20"/>
                <w:szCs w:val="20"/>
              </w:rPr>
            </w:pPr>
          </w:p>
        </w:tc>
      </w:tr>
    </w:tbl>
    <w:p w:rsidR="00D1593D" w:rsidRDefault="000B4F42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  <w:r>
        <w:rPr>
          <w:rFonts w:eastAsiaTheme="minorEastAsia"/>
          <w:bCs/>
          <w:iCs/>
          <w:sz w:val="36"/>
          <w:szCs w:val="36"/>
        </w:rPr>
        <w:t xml:space="preserve"> </w:t>
      </w:r>
    </w:p>
    <w:p w:rsidR="00D1593D" w:rsidRDefault="00D1593D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</w:p>
    <w:p w:rsidR="00715CC8" w:rsidRDefault="00715CC8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</w:p>
    <w:p w:rsidR="003C2C2E" w:rsidRDefault="003C2C2E" w:rsidP="00EC13DF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FE6C52" w:rsidRDefault="00FE6C52" w:rsidP="00EC13DF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FE6C52" w:rsidRDefault="00FE6C52" w:rsidP="00EC13DF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FE6C52" w:rsidRDefault="00FE6C52" w:rsidP="00EC13DF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FE6C52" w:rsidRDefault="00FE6C52" w:rsidP="00EC13DF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916F5C" w:rsidRDefault="00E70A3E" w:rsidP="003C2C2E">
      <w:pPr>
        <w:spacing w:after="0" w:line="240" w:lineRule="auto"/>
        <w:jc w:val="both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B20DE9" w:rsidRPr="001845DE">
        <w:rPr>
          <w:rFonts w:eastAsiaTheme="minorEastAsia"/>
          <w:bCs/>
          <w:iCs/>
          <w:sz w:val="36"/>
          <w:szCs w:val="36"/>
        </w:rPr>
        <w:t xml:space="preserve"> Goal 4: </w:t>
      </w:r>
      <w:r w:rsidR="00B20DE9" w:rsidRPr="001845DE">
        <w:rPr>
          <w:rFonts w:eastAsiaTheme="minorEastAsia"/>
          <w:b/>
          <w:bCs/>
          <w:i/>
          <w:iCs/>
          <w:sz w:val="32"/>
          <w:szCs w:val="32"/>
        </w:rPr>
        <w:t>Recruit, hire, support and retain employees for the highest level of excellence</w:t>
      </w:r>
      <w:r w:rsidR="00916F5C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9530AF" w:rsidRDefault="00B67696" w:rsidP="00916F5C">
      <w:pPr>
        <w:spacing w:after="0" w:line="240" w:lineRule="auto"/>
        <w:ind w:left="-360"/>
        <w:rPr>
          <w:rFonts w:eastAsiaTheme="minorEastAsia"/>
          <w:b/>
          <w:bCs/>
          <w:i/>
          <w:iCs/>
          <w:sz w:val="32"/>
          <w:szCs w:val="32"/>
        </w:rPr>
      </w:pPr>
    </w:p>
    <w:tbl>
      <w:tblPr>
        <w:tblStyle w:val="TableGrid"/>
        <w:tblW w:w="1473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57"/>
        <w:gridCol w:w="2250"/>
        <w:gridCol w:w="4680"/>
        <w:gridCol w:w="2190"/>
        <w:gridCol w:w="3660"/>
      </w:tblGrid>
      <w:tr w:rsidR="003C2C2E" w:rsidRPr="00DC4FF2" w:rsidTr="003C2C2E">
        <w:trPr>
          <w:cantSplit/>
          <w:trHeight w:val="344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916F5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916F5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:rsidR="00B67696" w:rsidRDefault="00B67696" w:rsidP="00B67696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Superintendent’s</w:t>
            </w:r>
          </w:p>
          <w:p w:rsidR="009E64C1" w:rsidRPr="00916F5C" w:rsidRDefault="009E64C1" w:rsidP="00916F5C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916F5C">
              <w:rPr>
                <w:b/>
                <w:bCs/>
                <w:i/>
                <w:iCs/>
                <w:color w:val="FFFFFF" w:themeColor="background1"/>
              </w:rPr>
              <w:t xml:space="preserve"> Priorities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Pr="00916F5C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916F5C" w:rsidRDefault="009E64C1" w:rsidP="005733AF">
            <w:pPr>
              <w:jc w:val="center"/>
              <w:rPr>
                <w:b/>
                <w:i/>
              </w:rPr>
            </w:pPr>
            <w:r w:rsidRPr="00916F5C">
              <w:rPr>
                <w:b/>
                <w:bCs/>
                <w:i/>
                <w:iCs/>
                <w:color w:val="FFFFFF" w:themeColor="background1"/>
              </w:rPr>
              <w:t xml:space="preserve">District Initiatives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</w:t>
            </w:r>
            <w:r w:rsidRPr="004B154C">
              <w:rPr>
                <w:b/>
                <w:bCs/>
                <w:iCs/>
                <w:sz w:val="20"/>
                <w:szCs w:val="20"/>
              </w:rPr>
              <w:t>ey Actions:</w:t>
            </w:r>
          </w:p>
          <w:p w:rsidR="009E64C1" w:rsidRPr="00E15652" w:rsidRDefault="009E64C1" w:rsidP="005733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9E64C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Pr="004B154C">
              <w:rPr>
                <w:b/>
                <w:bCs/>
                <w:iCs/>
                <w:sz w:val="20"/>
                <w:szCs w:val="20"/>
              </w:rPr>
              <w:t>easured by: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EC13DF">
            <w:pPr>
              <w:tabs>
                <w:tab w:val="left" w:pos="1962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E15652" w:rsidRDefault="009E64C1" w:rsidP="00EF0F9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(Due September 1)</w:t>
            </w:r>
          </w:p>
        </w:tc>
      </w:tr>
      <w:tr w:rsidR="009E64C1" w:rsidRPr="00DC4FF2" w:rsidTr="003C2C2E">
        <w:trPr>
          <w:cantSplit/>
          <w:trHeight w:val="3111"/>
        </w:trPr>
        <w:tc>
          <w:tcPr>
            <w:tcW w:w="1957" w:type="dxa"/>
            <w:vMerge w:val="restart"/>
            <w:shd w:val="clear" w:color="auto" w:fill="F2F2F2" w:themeFill="background1" w:themeFillShade="F2"/>
          </w:tcPr>
          <w:p w:rsidR="009E64C1" w:rsidRDefault="009E64C1" w:rsidP="00916F5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9E64C1" w:rsidRPr="00DC4FF2" w:rsidRDefault="009E64C1" w:rsidP="00B6769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Make Cobb</w:t>
            </w:r>
            <w:r w:rsidR="00B67696">
              <w:rPr>
                <w:bCs/>
                <w:iCs/>
                <w:sz w:val="20"/>
                <w:szCs w:val="20"/>
              </w:rPr>
              <w:t xml:space="preserve"> the best place to teach, lead,</w:t>
            </w:r>
            <w:r w:rsidR="00E0195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and learn.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C13DF" w:rsidRDefault="00EC13DF" w:rsidP="00EC13DF">
            <w:pPr>
              <w:pStyle w:val="ListParagraph"/>
              <w:rPr>
                <w:bCs/>
                <w:i/>
                <w:iCs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Cs/>
                <w:i/>
                <w:iCs/>
                <w:sz w:val="20"/>
                <w:szCs w:val="20"/>
              </w:rPr>
            </w:pPr>
            <w:r w:rsidRPr="003C2C2E">
              <w:rPr>
                <w:bCs/>
                <w:i/>
                <w:iCs/>
                <w:sz w:val="20"/>
                <w:szCs w:val="20"/>
              </w:rPr>
              <w:t xml:space="preserve">Develop teacher leaders.  </w:t>
            </w:r>
          </w:p>
        </w:tc>
        <w:tc>
          <w:tcPr>
            <w:tcW w:w="468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770ED0" w:rsidRDefault="00770ED0" w:rsidP="00770ED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Guiding Coalition Team will attend Solution Tree “PLC at Work” Conference and re-deliver at grade level meetings to all teachers</w:t>
            </w:r>
          </w:p>
          <w:p w:rsidR="00770ED0" w:rsidRDefault="00770ED0" w:rsidP="00770ED0">
            <w:pPr>
              <w:ind w:left="360"/>
              <w:rPr>
                <w:sz w:val="20"/>
                <w:szCs w:val="20"/>
              </w:rPr>
            </w:pPr>
          </w:p>
          <w:p w:rsidR="00770ED0" w:rsidRDefault="00770ED0" w:rsidP="00770ED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78C4">
              <w:rPr>
                <w:sz w:val="20"/>
                <w:szCs w:val="20"/>
              </w:rPr>
              <w:t xml:space="preserve">ontinue to build the </w:t>
            </w:r>
            <w:r>
              <w:rPr>
                <w:sz w:val="20"/>
                <w:szCs w:val="20"/>
              </w:rPr>
              <w:t>Leadership Team</w:t>
            </w:r>
            <w:r w:rsidR="000078C4">
              <w:rPr>
                <w:sz w:val="20"/>
                <w:szCs w:val="20"/>
              </w:rPr>
              <w:t xml:space="preserve"> CCC</w:t>
            </w:r>
            <w:r>
              <w:rPr>
                <w:sz w:val="20"/>
                <w:szCs w:val="20"/>
              </w:rPr>
              <w:t xml:space="preserve"> by me</w:t>
            </w:r>
            <w:r w:rsidR="006F6F0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ting once a month and increasing shared leadership model</w:t>
            </w:r>
          </w:p>
          <w:p w:rsidR="00770ED0" w:rsidRPr="00770ED0" w:rsidRDefault="00770ED0" w:rsidP="00770ED0">
            <w:pPr>
              <w:pStyle w:val="ListParagraph"/>
              <w:rPr>
                <w:sz w:val="20"/>
                <w:szCs w:val="20"/>
              </w:rPr>
            </w:pPr>
          </w:p>
          <w:p w:rsidR="00770ED0" w:rsidRDefault="00770ED0" w:rsidP="00770ED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Teacher Mentorship program for “New to LMMS” faculty and staff</w:t>
            </w:r>
          </w:p>
          <w:p w:rsidR="00A52CE3" w:rsidRPr="00A52CE3" w:rsidRDefault="00A52CE3" w:rsidP="00A52CE3">
            <w:pPr>
              <w:pStyle w:val="ListParagraph"/>
              <w:rPr>
                <w:sz w:val="20"/>
                <w:szCs w:val="20"/>
              </w:rPr>
            </w:pPr>
          </w:p>
          <w:p w:rsidR="00A52CE3" w:rsidRDefault="00A52CE3" w:rsidP="00770ED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implement Teacher-Led Action Teams and Teacher-Sponsored Clubs and Organizations</w:t>
            </w:r>
          </w:p>
          <w:p w:rsidR="00770ED0" w:rsidRPr="00770ED0" w:rsidRDefault="00770ED0" w:rsidP="00770ED0">
            <w:pPr>
              <w:pStyle w:val="ListParagraph"/>
              <w:rPr>
                <w:sz w:val="20"/>
                <w:szCs w:val="20"/>
              </w:rPr>
            </w:pPr>
          </w:p>
          <w:p w:rsidR="00770ED0" w:rsidRDefault="000078C4" w:rsidP="00770ED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will organize and mentor a new Aspiring Administrator group for Teacher Leaders in the building</w:t>
            </w:r>
          </w:p>
          <w:p w:rsidR="000078C4" w:rsidRPr="000078C4" w:rsidRDefault="000078C4" w:rsidP="000078C4">
            <w:pPr>
              <w:pStyle w:val="ListParagraph"/>
              <w:rPr>
                <w:sz w:val="20"/>
                <w:szCs w:val="20"/>
              </w:rPr>
            </w:pPr>
          </w:p>
          <w:p w:rsidR="000078C4" w:rsidRPr="00A52CE3" w:rsidRDefault="000078C4" w:rsidP="00A52CE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8F15F4" w:rsidRDefault="003D7BC8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Self-Assessment  </w:t>
            </w:r>
          </w:p>
          <w:p w:rsidR="003D7BC8" w:rsidRDefault="003D7BC8" w:rsidP="00BC3795">
            <w:pPr>
              <w:rPr>
                <w:sz w:val="20"/>
                <w:szCs w:val="20"/>
              </w:rPr>
            </w:pPr>
          </w:p>
          <w:p w:rsidR="003D7BC8" w:rsidRDefault="003D7BC8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Goals</w:t>
            </w:r>
          </w:p>
          <w:p w:rsidR="008F15F4" w:rsidRDefault="008F15F4" w:rsidP="00BC3795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31E1B" w:rsidRPr="00A52CE3" w:rsidRDefault="00A52CE3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Observations</w:t>
            </w:r>
          </w:p>
        </w:tc>
        <w:tc>
          <w:tcPr>
            <w:tcW w:w="366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770ED0" w:rsidRDefault="00770ED0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team met once a month and grade level leads redelivered at grade level meetings</w:t>
            </w:r>
          </w:p>
          <w:p w:rsidR="00770ED0" w:rsidRDefault="00770ED0" w:rsidP="00BC3795">
            <w:pPr>
              <w:rPr>
                <w:sz w:val="20"/>
                <w:szCs w:val="20"/>
              </w:rPr>
            </w:pPr>
          </w:p>
          <w:p w:rsidR="00770ED0" w:rsidRDefault="00770ED0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 coordinators attended district meetings and redelivered to subject area teachers</w:t>
            </w:r>
          </w:p>
          <w:p w:rsidR="00031E1B" w:rsidRDefault="00031E1B" w:rsidP="00BC3795">
            <w:pPr>
              <w:rPr>
                <w:sz w:val="20"/>
                <w:szCs w:val="20"/>
              </w:rPr>
            </w:pPr>
          </w:p>
          <w:p w:rsidR="00770ED0" w:rsidRDefault="00770ED0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mentors assigned to “New to LMMS” teachers and “First Year New Teachers”</w:t>
            </w:r>
          </w:p>
          <w:p w:rsidR="00770ED0" w:rsidRDefault="00770ED0" w:rsidP="00BC3795">
            <w:pPr>
              <w:rPr>
                <w:sz w:val="20"/>
                <w:szCs w:val="20"/>
              </w:rPr>
            </w:pPr>
          </w:p>
          <w:p w:rsidR="00031E1B" w:rsidRDefault="00A52CE3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T</w:t>
            </w:r>
            <w:r w:rsidR="00031E1B">
              <w:rPr>
                <w:sz w:val="20"/>
                <w:szCs w:val="20"/>
              </w:rPr>
              <w:t xml:space="preserve">eams were implemented with teacher-led committees including Leadership Team, Guiding Coalition, STEM Team, Collegiality, International Night, Rally, Relay for Life, Wellness, </w:t>
            </w:r>
            <w:r w:rsidR="00056B06">
              <w:rPr>
                <w:sz w:val="20"/>
                <w:szCs w:val="20"/>
              </w:rPr>
              <w:t>etc…</w:t>
            </w:r>
          </w:p>
          <w:p w:rsidR="00056B06" w:rsidRDefault="00056B06" w:rsidP="00BC3795">
            <w:pPr>
              <w:rPr>
                <w:sz w:val="20"/>
                <w:szCs w:val="20"/>
              </w:rPr>
            </w:pPr>
          </w:p>
          <w:p w:rsidR="00056B06" w:rsidRDefault="00056B06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Clubs and Organizations sponsored by Teachers including FCA, Coding Club, Jr. Beta, Helping Hands, Student Council, STEM Club, etc…</w:t>
            </w:r>
          </w:p>
          <w:p w:rsidR="00031E1B" w:rsidRPr="00DC4FF2" w:rsidRDefault="00031E1B" w:rsidP="00BC3795">
            <w:pPr>
              <w:rPr>
                <w:sz w:val="20"/>
                <w:szCs w:val="20"/>
              </w:rPr>
            </w:pPr>
          </w:p>
        </w:tc>
      </w:tr>
      <w:tr w:rsidR="009E64C1" w:rsidRPr="00DC4FF2" w:rsidTr="003C2C2E">
        <w:trPr>
          <w:cantSplit/>
          <w:trHeight w:val="3417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9E64C1" w:rsidRDefault="009E64C1" w:rsidP="00BC3795">
            <w:pPr>
              <w:rPr>
                <w:bCs/>
                <w:iCs/>
                <w:sz w:val="20"/>
                <w:szCs w:val="17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EC13DF" w:rsidRPr="00EC13DF" w:rsidRDefault="00EC13DF" w:rsidP="00EC13DF">
            <w:pPr>
              <w:rPr>
                <w:bCs/>
                <w:i/>
                <w:iCs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Cs/>
                <w:i/>
                <w:iCs/>
                <w:sz w:val="20"/>
                <w:szCs w:val="20"/>
              </w:rPr>
            </w:pPr>
            <w:r w:rsidRPr="003C2C2E">
              <w:rPr>
                <w:bCs/>
                <w:i/>
                <w:iCs/>
                <w:sz w:val="20"/>
                <w:szCs w:val="20"/>
              </w:rPr>
              <w:t>Develop professional learning needs based on TKES and LKES evaluations</w:t>
            </w:r>
            <w:r w:rsidR="00E0195F" w:rsidRPr="003C2C2E">
              <w:rPr>
                <w:bCs/>
                <w:i/>
                <w:iCs/>
                <w:sz w:val="20"/>
                <w:szCs w:val="20"/>
              </w:rPr>
              <w:t xml:space="preserve"> and</w:t>
            </w:r>
            <w:r w:rsidRPr="003C2C2E">
              <w:rPr>
                <w:bCs/>
                <w:i/>
                <w:iCs/>
                <w:sz w:val="20"/>
                <w:szCs w:val="20"/>
              </w:rPr>
              <w:t xml:space="preserve"> collaboration rubrics. </w:t>
            </w:r>
          </w:p>
        </w:tc>
        <w:tc>
          <w:tcPr>
            <w:tcW w:w="4680" w:type="dxa"/>
          </w:tcPr>
          <w:p w:rsidR="009E64C1" w:rsidRDefault="00230CE1" w:rsidP="00573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professional learning plan that addresses differentiated options for teachers that include:</w:t>
            </w:r>
          </w:p>
          <w:p w:rsidR="00E434C7" w:rsidRDefault="00E434C7" w:rsidP="00E434C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Leader and CCC Collaboration to develop high functioning and collaborative teams</w:t>
            </w:r>
          </w:p>
          <w:p w:rsidR="001B0487" w:rsidRDefault="001B0487" w:rsidP="001B0487">
            <w:pPr>
              <w:pStyle w:val="ListParagraph"/>
              <w:rPr>
                <w:sz w:val="20"/>
                <w:szCs w:val="20"/>
              </w:rPr>
            </w:pPr>
          </w:p>
          <w:p w:rsidR="00770ED0" w:rsidRDefault="00E434C7" w:rsidP="001B048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best instructional practices to teach standards including content specific needs, Technology application in classroom, enhancing Rigor/DOK, STEM practices, CTLS and assessment support</w:t>
            </w:r>
            <w:r w:rsidR="001B0487">
              <w:rPr>
                <w:sz w:val="20"/>
                <w:szCs w:val="20"/>
              </w:rPr>
              <w:t>; all t</w:t>
            </w:r>
            <w:r w:rsidR="003D7BC8" w:rsidRPr="001B0487">
              <w:rPr>
                <w:sz w:val="20"/>
                <w:szCs w:val="20"/>
              </w:rPr>
              <w:t xml:space="preserve">eachers will become Microsoft Innovative Educator certified </w:t>
            </w:r>
          </w:p>
          <w:p w:rsidR="001B0487" w:rsidRPr="001B0487" w:rsidRDefault="001B0487" w:rsidP="001B0487">
            <w:pPr>
              <w:rPr>
                <w:sz w:val="20"/>
                <w:szCs w:val="20"/>
              </w:rPr>
            </w:pPr>
          </w:p>
          <w:p w:rsidR="00E434C7" w:rsidRDefault="00E434C7" w:rsidP="00786CC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two collaboration days with subject specific training for academic teachers and the sped teachers in content CCCs to exami</w:t>
            </w:r>
            <w:r w:rsidR="00877EBC">
              <w:rPr>
                <w:sz w:val="20"/>
                <w:szCs w:val="20"/>
              </w:rPr>
              <w:t xml:space="preserve">ne data, refine unit plans, </w:t>
            </w:r>
            <w:r>
              <w:rPr>
                <w:sz w:val="20"/>
                <w:szCs w:val="20"/>
              </w:rPr>
              <w:t>design common formative and summative assessments using CTLS data tools</w:t>
            </w:r>
            <w:r w:rsidR="00877EBC">
              <w:rPr>
                <w:sz w:val="20"/>
                <w:szCs w:val="20"/>
              </w:rPr>
              <w:t xml:space="preserve">, and participate </w:t>
            </w:r>
            <w:r w:rsidR="0005608E">
              <w:rPr>
                <w:sz w:val="20"/>
                <w:szCs w:val="20"/>
              </w:rPr>
              <w:t xml:space="preserve">in </w:t>
            </w:r>
            <w:r w:rsidR="00877EBC">
              <w:rPr>
                <w:sz w:val="20"/>
                <w:szCs w:val="20"/>
              </w:rPr>
              <w:t>peer walk</w:t>
            </w:r>
            <w:r w:rsidR="0005608E">
              <w:rPr>
                <w:sz w:val="20"/>
                <w:szCs w:val="20"/>
              </w:rPr>
              <w:t>-</w:t>
            </w:r>
            <w:r w:rsidR="00877EBC">
              <w:rPr>
                <w:sz w:val="20"/>
                <w:szCs w:val="20"/>
              </w:rPr>
              <w:t xml:space="preserve"> through observations.</w:t>
            </w:r>
          </w:p>
          <w:p w:rsidR="001B0487" w:rsidRPr="001B0487" w:rsidRDefault="001B0487" w:rsidP="001B0487">
            <w:pPr>
              <w:rPr>
                <w:sz w:val="20"/>
                <w:szCs w:val="20"/>
              </w:rPr>
            </w:pPr>
          </w:p>
          <w:p w:rsidR="00770ED0" w:rsidRPr="00770ED0" w:rsidRDefault="00770ED0" w:rsidP="00770ED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SSA will provide training for special education teachers to gain skills in specialized instruction and reflection on student data</w:t>
            </w:r>
          </w:p>
          <w:p w:rsidR="003D7BC8" w:rsidRDefault="003D7BC8" w:rsidP="003D7BC8">
            <w:pPr>
              <w:rPr>
                <w:sz w:val="20"/>
                <w:szCs w:val="20"/>
              </w:rPr>
            </w:pPr>
          </w:p>
          <w:p w:rsidR="003D7BC8" w:rsidRPr="003D7BC8" w:rsidRDefault="003D7BC8" w:rsidP="003D7BC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individual professional development plans as needed for teachers to target specific standards where improvement is needed</w:t>
            </w:r>
          </w:p>
        </w:tc>
        <w:tc>
          <w:tcPr>
            <w:tcW w:w="219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8F15F4" w:rsidRDefault="003D7BC8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from TKES and LKES evaluations</w:t>
            </w:r>
          </w:p>
          <w:p w:rsidR="008F15F4" w:rsidRPr="008F15F4" w:rsidRDefault="008F15F4" w:rsidP="00BC379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6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3D7BC8" w:rsidRDefault="00031E1B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professional learning plan was developed and fully implemented with sessions for all staff, as well as sessions targeting a particular group as needed. Evidence of implementation was noted throughout the TKES process.  </w:t>
            </w:r>
          </w:p>
          <w:p w:rsidR="00031E1B" w:rsidRDefault="00031E1B" w:rsidP="00BC3795">
            <w:pPr>
              <w:rPr>
                <w:sz w:val="20"/>
                <w:szCs w:val="20"/>
              </w:rPr>
            </w:pPr>
          </w:p>
          <w:p w:rsidR="00031E1B" w:rsidRDefault="00031E1B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were provided with two collaboration days with training supports as needed</w:t>
            </w:r>
          </w:p>
          <w:p w:rsidR="00031E1B" w:rsidRDefault="00031E1B" w:rsidP="00BC3795">
            <w:pPr>
              <w:rPr>
                <w:sz w:val="20"/>
                <w:szCs w:val="20"/>
              </w:rPr>
            </w:pPr>
          </w:p>
          <w:p w:rsidR="00031E1B" w:rsidRDefault="00031E1B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for special education teachers was provided and evidence of implementation was noted through the TKES process</w:t>
            </w:r>
          </w:p>
          <w:p w:rsidR="00E434C7" w:rsidRDefault="00E434C7" w:rsidP="00BC3795">
            <w:pPr>
              <w:rPr>
                <w:sz w:val="20"/>
                <w:szCs w:val="20"/>
              </w:rPr>
            </w:pPr>
          </w:p>
          <w:p w:rsidR="00E434C7" w:rsidRDefault="00BB28B3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Connection teachers </w:t>
            </w:r>
            <w:r w:rsidR="00E434C7">
              <w:rPr>
                <w:sz w:val="20"/>
                <w:szCs w:val="20"/>
              </w:rPr>
              <w:t xml:space="preserve">provided with collaboration time on early release days and two half day collaboration days to meet with other singletons in the area </w:t>
            </w:r>
          </w:p>
          <w:p w:rsidR="00E434C7" w:rsidRDefault="00E434C7" w:rsidP="00BC3795">
            <w:pPr>
              <w:rPr>
                <w:sz w:val="20"/>
                <w:szCs w:val="20"/>
              </w:rPr>
            </w:pPr>
          </w:p>
          <w:p w:rsidR="00E434C7" w:rsidRPr="00DC4FF2" w:rsidRDefault="00E434C7" w:rsidP="00BC3795">
            <w:pPr>
              <w:rPr>
                <w:sz w:val="20"/>
                <w:szCs w:val="20"/>
              </w:rPr>
            </w:pPr>
          </w:p>
        </w:tc>
      </w:tr>
    </w:tbl>
    <w:p w:rsidR="00943192" w:rsidRPr="002459A0" w:rsidRDefault="00943192" w:rsidP="002459A0">
      <w:pPr>
        <w:spacing w:after="0"/>
        <w:rPr>
          <w:rFonts w:ascii="Calibri" w:eastAsiaTheme="minorEastAsia" w:hAnsi="Calibri" w:cs="Cambria"/>
          <w:b/>
          <w:sz w:val="20"/>
          <w:szCs w:val="48"/>
        </w:rPr>
      </w:pPr>
    </w:p>
    <w:sectPr w:rsidR="00943192" w:rsidRPr="002459A0" w:rsidSect="00B67696">
      <w:headerReference w:type="default" r:id="rId8"/>
      <w:pgSz w:w="15840" w:h="12240" w:orient="landscape" w:code="1"/>
      <w:pgMar w:top="245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90" w:rsidRDefault="001F7990" w:rsidP="00587807">
      <w:pPr>
        <w:spacing w:after="0" w:line="240" w:lineRule="auto"/>
      </w:pPr>
      <w:r>
        <w:separator/>
      </w:r>
    </w:p>
  </w:endnote>
  <w:endnote w:type="continuationSeparator" w:id="0">
    <w:p w:rsidR="001F7990" w:rsidRDefault="001F7990" w:rsidP="005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90" w:rsidRDefault="001F7990" w:rsidP="00587807">
      <w:pPr>
        <w:spacing w:after="0" w:line="240" w:lineRule="auto"/>
      </w:pPr>
      <w:r>
        <w:separator/>
      </w:r>
    </w:p>
  </w:footnote>
  <w:footnote w:type="continuationSeparator" w:id="0">
    <w:p w:rsidR="001F7990" w:rsidRDefault="001F7990" w:rsidP="0058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5A" w:rsidRDefault="00BD1C5A" w:rsidP="00BD1C5A">
    <w:pPr>
      <w:pStyle w:val="Header"/>
      <w:jc w:val="center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-57150</wp:posOffset>
          </wp:positionV>
          <wp:extent cx="1190530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9F0">
      <w:rPr>
        <w:rFonts w:eastAsiaTheme="minorEastAsia"/>
        <w:b/>
        <w:sz w:val="40"/>
        <w:szCs w:val="40"/>
        <w:u w:val="single"/>
      </w:rPr>
      <w:t>Lost Mountain Middle School</w:t>
    </w:r>
    <w:r w:rsidR="00F039B1">
      <w:rPr>
        <w:rFonts w:eastAsiaTheme="minorEastAsia"/>
        <w:b/>
        <w:sz w:val="40"/>
        <w:szCs w:val="40"/>
        <w:u w:val="single"/>
      </w:rPr>
      <w:t xml:space="preserve"> 2018-2019 </w:t>
    </w:r>
    <w:r w:rsidRPr="00BD1C5A">
      <w:rPr>
        <w:rFonts w:eastAsiaTheme="minorEastAsia"/>
        <w:b/>
        <w:sz w:val="40"/>
        <w:szCs w:val="40"/>
        <w:u w:val="single"/>
      </w:rPr>
      <w:t>Strategic Plan</w:t>
    </w:r>
  </w:p>
  <w:p w:rsidR="0077158E" w:rsidRDefault="0077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17"/>
    <w:multiLevelType w:val="hybridMultilevel"/>
    <w:tmpl w:val="E328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363"/>
    <w:multiLevelType w:val="hybridMultilevel"/>
    <w:tmpl w:val="3DF2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9D1"/>
    <w:multiLevelType w:val="hybridMultilevel"/>
    <w:tmpl w:val="DB04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6F39"/>
    <w:multiLevelType w:val="hybridMultilevel"/>
    <w:tmpl w:val="965E401A"/>
    <w:lvl w:ilvl="0" w:tplc="E580DC0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50E007C"/>
    <w:multiLevelType w:val="hybridMultilevel"/>
    <w:tmpl w:val="9028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CFD"/>
    <w:multiLevelType w:val="hybridMultilevel"/>
    <w:tmpl w:val="DA90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3AA9"/>
    <w:multiLevelType w:val="hybridMultilevel"/>
    <w:tmpl w:val="A940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4378"/>
    <w:multiLevelType w:val="hybridMultilevel"/>
    <w:tmpl w:val="1A4E91D8"/>
    <w:lvl w:ilvl="0" w:tplc="EB2476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241A7"/>
    <w:multiLevelType w:val="hybridMultilevel"/>
    <w:tmpl w:val="F5FC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7409"/>
    <w:multiLevelType w:val="hybridMultilevel"/>
    <w:tmpl w:val="0CEA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56C9"/>
    <w:multiLevelType w:val="hybridMultilevel"/>
    <w:tmpl w:val="A82E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327"/>
    <w:multiLevelType w:val="hybridMultilevel"/>
    <w:tmpl w:val="FCD62A18"/>
    <w:lvl w:ilvl="0" w:tplc="7E8C2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06372"/>
    <w:multiLevelType w:val="hybridMultilevel"/>
    <w:tmpl w:val="78E4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301F1"/>
    <w:multiLevelType w:val="hybridMultilevel"/>
    <w:tmpl w:val="BD76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66E6B"/>
    <w:multiLevelType w:val="hybridMultilevel"/>
    <w:tmpl w:val="AB9A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A6750"/>
    <w:multiLevelType w:val="hybridMultilevel"/>
    <w:tmpl w:val="43B0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5192"/>
    <w:multiLevelType w:val="hybridMultilevel"/>
    <w:tmpl w:val="DCF436D0"/>
    <w:lvl w:ilvl="0" w:tplc="B00AF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F3FD5"/>
    <w:multiLevelType w:val="hybridMultilevel"/>
    <w:tmpl w:val="124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10053"/>
    <w:multiLevelType w:val="hybridMultilevel"/>
    <w:tmpl w:val="0CA0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920"/>
    <w:multiLevelType w:val="hybridMultilevel"/>
    <w:tmpl w:val="EAC4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5030C"/>
    <w:multiLevelType w:val="hybridMultilevel"/>
    <w:tmpl w:val="8206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F5830"/>
    <w:multiLevelType w:val="hybridMultilevel"/>
    <w:tmpl w:val="C388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1"/>
  </w:num>
  <w:num w:numId="15">
    <w:abstractNumId w:val="15"/>
  </w:num>
  <w:num w:numId="16">
    <w:abstractNumId w:val="6"/>
  </w:num>
  <w:num w:numId="17">
    <w:abstractNumId w:val="18"/>
  </w:num>
  <w:num w:numId="18">
    <w:abstractNumId w:val="12"/>
  </w:num>
  <w:num w:numId="19">
    <w:abstractNumId w:val="17"/>
  </w:num>
  <w:num w:numId="20">
    <w:abstractNumId w:val="9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720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07"/>
    <w:rsid w:val="000078C4"/>
    <w:rsid w:val="00031E1B"/>
    <w:rsid w:val="00054163"/>
    <w:rsid w:val="0005608E"/>
    <w:rsid w:val="00056B06"/>
    <w:rsid w:val="00056BE8"/>
    <w:rsid w:val="00057020"/>
    <w:rsid w:val="00064826"/>
    <w:rsid w:val="00066290"/>
    <w:rsid w:val="00066D52"/>
    <w:rsid w:val="00092BFC"/>
    <w:rsid w:val="00092EF1"/>
    <w:rsid w:val="000B4F42"/>
    <w:rsid w:val="000C015A"/>
    <w:rsid w:val="000D4EEB"/>
    <w:rsid w:val="000E63FC"/>
    <w:rsid w:val="000F0B6D"/>
    <w:rsid w:val="000F7317"/>
    <w:rsid w:val="00104878"/>
    <w:rsid w:val="001137D8"/>
    <w:rsid w:val="00125A9B"/>
    <w:rsid w:val="0013576D"/>
    <w:rsid w:val="00147049"/>
    <w:rsid w:val="001845DE"/>
    <w:rsid w:val="00185155"/>
    <w:rsid w:val="00186398"/>
    <w:rsid w:val="00190F6B"/>
    <w:rsid w:val="001B0487"/>
    <w:rsid w:val="001B4578"/>
    <w:rsid w:val="001B69DD"/>
    <w:rsid w:val="001C3947"/>
    <w:rsid w:val="001C4068"/>
    <w:rsid w:val="001D62B3"/>
    <w:rsid w:val="001D797F"/>
    <w:rsid w:val="001F7990"/>
    <w:rsid w:val="00203F76"/>
    <w:rsid w:val="00230CE1"/>
    <w:rsid w:val="0023155F"/>
    <w:rsid w:val="00236660"/>
    <w:rsid w:val="002459A0"/>
    <w:rsid w:val="002542F0"/>
    <w:rsid w:val="00263775"/>
    <w:rsid w:val="0026451A"/>
    <w:rsid w:val="00265194"/>
    <w:rsid w:val="00287A9F"/>
    <w:rsid w:val="002967FB"/>
    <w:rsid w:val="002A2347"/>
    <w:rsid w:val="002A5D33"/>
    <w:rsid w:val="002B2837"/>
    <w:rsid w:val="002B5187"/>
    <w:rsid w:val="002C68A3"/>
    <w:rsid w:val="002E4F55"/>
    <w:rsid w:val="002E7A1F"/>
    <w:rsid w:val="002F1AE3"/>
    <w:rsid w:val="00300779"/>
    <w:rsid w:val="003175EE"/>
    <w:rsid w:val="00332040"/>
    <w:rsid w:val="00333F57"/>
    <w:rsid w:val="003378F8"/>
    <w:rsid w:val="00361A91"/>
    <w:rsid w:val="00363140"/>
    <w:rsid w:val="00373A0E"/>
    <w:rsid w:val="003752DD"/>
    <w:rsid w:val="0037662B"/>
    <w:rsid w:val="00380126"/>
    <w:rsid w:val="003963CC"/>
    <w:rsid w:val="003C2C2E"/>
    <w:rsid w:val="003D7BC8"/>
    <w:rsid w:val="00435A88"/>
    <w:rsid w:val="004403EC"/>
    <w:rsid w:val="004438F1"/>
    <w:rsid w:val="00453F59"/>
    <w:rsid w:val="00466D0E"/>
    <w:rsid w:val="00483256"/>
    <w:rsid w:val="00487975"/>
    <w:rsid w:val="00496298"/>
    <w:rsid w:val="00497B9D"/>
    <w:rsid w:val="004A5470"/>
    <w:rsid w:val="004B154C"/>
    <w:rsid w:val="004C0DC6"/>
    <w:rsid w:val="004C3D2A"/>
    <w:rsid w:val="004D14C2"/>
    <w:rsid w:val="004E093D"/>
    <w:rsid w:val="00516823"/>
    <w:rsid w:val="00532123"/>
    <w:rsid w:val="00550951"/>
    <w:rsid w:val="005514DF"/>
    <w:rsid w:val="00554E58"/>
    <w:rsid w:val="005567A8"/>
    <w:rsid w:val="00560F0D"/>
    <w:rsid w:val="005733AF"/>
    <w:rsid w:val="00587807"/>
    <w:rsid w:val="005A1A32"/>
    <w:rsid w:val="005A3DDC"/>
    <w:rsid w:val="005A5FA3"/>
    <w:rsid w:val="005C749F"/>
    <w:rsid w:val="005D6E74"/>
    <w:rsid w:val="005E7A6B"/>
    <w:rsid w:val="005F284D"/>
    <w:rsid w:val="00602BF4"/>
    <w:rsid w:val="00602E59"/>
    <w:rsid w:val="00603830"/>
    <w:rsid w:val="00616331"/>
    <w:rsid w:val="00635BFB"/>
    <w:rsid w:val="006638B5"/>
    <w:rsid w:val="00667C67"/>
    <w:rsid w:val="00695744"/>
    <w:rsid w:val="006A7E8A"/>
    <w:rsid w:val="006C2D8D"/>
    <w:rsid w:val="006E5AF7"/>
    <w:rsid w:val="006F0FE5"/>
    <w:rsid w:val="006F3116"/>
    <w:rsid w:val="006F6F05"/>
    <w:rsid w:val="00707B8A"/>
    <w:rsid w:val="00715CC8"/>
    <w:rsid w:val="007274DE"/>
    <w:rsid w:val="00727A5C"/>
    <w:rsid w:val="00734D61"/>
    <w:rsid w:val="00770ED0"/>
    <w:rsid w:val="0077158E"/>
    <w:rsid w:val="00772CF9"/>
    <w:rsid w:val="007803FB"/>
    <w:rsid w:val="007962FB"/>
    <w:rsid w:val="007B0D5C"/>
    <w:rsid w:val="007B512A"/>
    <w:rsid w:val="007D73D0"/>
    <w:rsid w:val="00804DCB"/>
    <w:rsid w:val="008251C4"/>
    <w:rsid w:val="0083513A"/>
    <w:rsid w:val="00837A07"/>
    <w:rsid w:val="00842986"/>
    <w:rsid w:val="008475E4"/>
    <w:rsid w:val="00857B56"/>
    <w:rsid w:val="00860529"/>
    <w:rsid w:val="00872A6A"/>
    <w:rsid w:val="00877EBC"/>
    <w:rsid w:val="00884943"/>
    <w:rsid w:val="008864AC"/>
    <w:rsid w:val="008B61AF"/>
    <w:rsid w:val="008D1FF7"/>
    <w:rsid w:val="008D4091"/>
    <w:rsid w:val="008F15F4"/>
    <w:rsid w:val="008F1E64"/>
    <w:rsid w:val="00910581"/>
    <w:rsid w:val="00916F5C"/>
    <w:rsid w:val="0092017D"/>
    <w:rsid w:val="009339C4"/>
    <w:rsid w:val="00943192"/>
    <w:rsid w:val="009530AF"/>
    <w:rsid w:val="00965606"/>
    <w:rsid w:val="009665FC"/>
    <w:rsid w:val="00967F20"/>
    <w:rsid w:val="00992DE6"/>
    <w:rsid w:val="00995ADF"/>
    <w:rsid w:val="009C06AB"/>
    <w:rsid w:val="009D3EC5"/>
    <w:rsid w:val="009E64C1"/>
    <w:rsid w:val="00A00714"/>
    <w:rsid w:val="00A14CB5"/>
    <w:rsid w:val="00A35D03"/>
    <w:rsid w:val="00A52CE3"/>
    <w:rsid w:val="00A541A3"/>
    <w:rsid w:val="00A70E09"/>
    <w:rsid w:val="00A72DAA"/>
    <w:rsid w:val="00A7663E"/>
    <w:rsid w:val="00A90A8B"/>
    <w:rsid w:val="00A926E2"/>
    <w:rsid w:val="00AB2A9C"/>
    <w:rsid w:val="00AB3A6B"/>
    <w:rsid w:val="00AB46E1"/>
    <w:rsid w:val="00AC3940"/>
    <w:rsid w:val="00AC4463"/>
    <w:rsid w:val="00AC5179"/>
    <w:rsid w:val="00AF28B9"/>
    <w:rsid w:val="00AF523E"/>
    <w:rsid w:val="00B05175"/>
    <w:rsid w:val="00B20DE9"/>
    <w:rsid w:val="00B220A7"/>
    <w:rsid w:val="00B27623"/>
    <w:rsid w:val="00B44A6C"/>
    <w:rsid w:val="00B45A86"/>
    <w:rsid w:val="00B67696"/>
    <w:rsid w:val="00B76595"/>
    <w:rsid w:val="00B7761F"/>
    <w:rsid w:val="00B80241"/>
    <w:rsid w:val="00B90DDF"/>
    <w:rsid w:val="00B9706A"/>
    <w:rsid w:val="00BA0DF1"/>
    <w:rsid w:val="00BB28B3"/>
    <w:rsid w:val="00BC3795"/>
    <w:rsid w:val="00BD1C5A"/>
    <w:rsid w:val="00BE2C76"/>
    <w:rsid w:val="00BF2C1D"/>
    <w:rsid w:val="00C0064D"/>
    <w:rsid w:val="00C12810"/>
    <w:rsid w:val="00C257B1"/>
    <w:rsid w:val="00C3362E"/>
    <w:rsid w:val="00C568D6"/>
    <w:rsid w:val="00C63394"/>
    <w:rsid w:val="00C66328"/>
    <w:rsid w:val="00C92EA0"/>
    <w:rsid w:val="00C94FB8"/>
    <w:rsid w:val="00C95D76"/>
    <w:rsid w:val="00CA61A2"/>
    <w:rsid w:val="00CE5882"/>
    <w:rsid w:val="00D03917"/>
    <w:rsid w:val="00D11ACA"/>
    <w:rsid w:val="00D1593D"/>
    <w:rsid w:val="00D409F0"/>
    <w:rsid w:val="00D51156"/>
    <w:rsid w:val="00D52C1B"/>
    <w:rsid w:val="00D572D8"/>
    <w:rsid w:val="00D87CA9"/>
    <w:rsid w:val="00DB6634"/>
    <w:rsid w:val="00DC4FF2"/>
    <w:rsid w:val="00DE499F"/>
    <w:rsid w:val="00E0195F"/>
    <w:rsid w:val="00E06B8D"/>
    <w:rsid w:val="00E15652"/>
    <w:rsid w:val="00E3762A"/>
    <w:rsid w:val="00E4322F"/>
    <w:rsid w:val="00E434C7"/>
    <w:rsid w:val="00E65F32"/>
    <w:rsid w:val="00E70A3E"/>
    <w:rsid w:val="00E90DA6"/>
    <w:rsid w:val="00EA254A"/>
    <w:rsid w:val="00EA4E5B"/>
    <w:rsid w:val="00EB1140"/>
    <w:rsid w:val="00EC13DF"/>
    <w:rsid w:val="00ED656E"/>
    <w:rsid w:val="00EF0F99"/>
    <w:rsid w:val="00F039B1"/>
    <w:rsid w:val="00F310FB"/>
    <w:rsid w:val="00F3404D"/>
    <w:rsid w:val="00F60B69"/>
    <w:rsid w:val="00F60FB9"/>
    <w:rsid w:val="00F83672"/>
    <w:rsid w:val="00FB4871"/>
    <w:rsid w:val="00FD4B25"/>
    <w:rsid w:val="00FE4CA0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05153-84EF-411B-A3A6-1243DB39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07"/>
  </w:style>
  <w:style w:type="paragraph" w:styleId="Footer">
    <w:name w:val="footer"/>
    <w:basedOn w:val="Normal"/>
    <w:link w:val="FooterChar"/>
    <w:uiPriority w:val="99"/>
    <w:unhideWhenUsed/>
    <w:rsid w:val="0058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07"/>
  </w:style>
  <w:style w:type="paragraph" w:styleId="BalloonText">
    <w:name w:val="Balloon Text"/>
    <w:basedOn w:val="Normal"/>
    <w:link w:val="BalloonTextChar"/>
    <w:uiPriority w:val="99"/>
    <w:semiHidden/>
    <w:unhideWhenUsed/>
    <w:rsid w:val="005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80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F2"/>
    <w:pPr>
      <w:ind w:left="720"/>
      <w:contextualSpacing/>
    </w:pPr>
  </w:style>
  <w:style w:type="paragraph" w:styleId="NoSpacing">
    <w:name w:val="No Spacing"/>
    <w:uiPriority w:val="1"/>
    <w:qFormat/>
    <w:rsid w:val="009530A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F2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70F1-5C2D-40D2-A35E-DCF8F54C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HLW19900</dc:creator>
  <cp:lastModifiedBy>Wendy Sultenfuss</cp:lastModifiedBy>
  <cp:revision>2</cp:revision>
  <cp:lastPrinted>2018-07-09T13:59:00Z</cp:lastPrinted>
  <dcterms:created xsi:type="dcterms:W3CDTF">2018-09-04T20:12:00Z</dcterms:created>
  <dcterms:modified xsi:type="dcterms:W3CDTF">2018-09-04T20:12:00Z</dcterms:modified>
</cp:coreProperties>
</file>